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41A181" w:rsidR="006B7F5B" w:rsidRPr="001338D8" w:rsidRDefault="00000000">
      <w:pPr>
        <w:spacing w:before="240" w:after="240"/>
      </w:pPr>
      <w:r w:rsidRPr="00C35B2A">
        <w:rPr>
          <w:b/>
          <w:bCs/>
        </w:rPr>
        <w:t>Title</w:t>
      </w:r>
      <w:r w:rsidRPr="001338D8">
        <w:t>: Toward a Lunar Solar Belt: A Feasibility Analysis for Space-Based Solar Collection and Transmission</w:t>
      </w:r>
    </w:p>
    <w:p w14:paraId="4C45DAD3" w14:textId="77777777" w:rsidR="00C35B2A" w:rsidRDefault="00000000">
      <w:pPr>
        <w:spacing w:before="240" w:after="240"/>
      </w:pPr>
      <w:r w:rsidRPr="00C35B2A">
        <w:rPr>
          <w:b/>
          <w:bCs/>
        </w:rPr>
        <w:t>Author</w:t>
      </w:r>
      <w:r w:rsidRPr="001338D8">
        <w:t xml:space="preserve">: Vrushabhraj Tanawade, </w:t>
      </w:r>
    </w:p>
    <w:p w14:paraId="00000002" w14:textId="4D50D449" w:rsidR="006B7F5B" w:rsidRPr="001338D8" w:rsidRDefault="00C35B2A">
      <w:pPr>
        <w:spacing w:before="240" w:after="240"/>
      </w:pPr>
      <w:r w:rsidRPr="00C35B2A">
        <w:rPr>
          <w:b/>
          <w:bCs/>
        </w:rPr>
        <w:t>Affiliation</w:t>
      </w:r>
      <w:r>
        <w:t xml:space="preserve">: </w:t>
      </w:r>
      <w:r w:rsidRPr="001338D8">
        <w:t>MCRD Lab, MountBay Energy LLC</w:t>
      </w:r>
    </w:p>
    <w:p w14:paraId="07481738" w14:textId="1DEBEAFF" w:rsidR="00C35B2A" w:rsidRPr="00C35B2A" w:rsidRDefault="00C35B2A" w:rsidP="00C35B2A">
      <w:pPr>
        <w:rPr>
          <w:lang w:val="en-US"/>
        </w:rPr>
      </w:pPr>
      <w:r w:rsidRPr="00C35B2A">
        <w:rPr>
          <w:b/>
          <w:bCs/>
          <w:lang w:val="en-US"/>
        </w:rPr>
        <w:t>Keywords:</w:t>
      </w:r>
      <w:r>
        <w:rPr>
          <w:lang w:val="en-US"/>
        </w:rPr>
        <w:t xml:space="preserve"> </w:t>
      </w:r>
      <w:r w:rsidRPr="00C35B2A">
        <w:rPr>
          <w:lang w:val="en-US"/>
        </w:rPr>
        <w:t>Lunar Solar Belt; space-based solar power (SBSP); in-situ resource utilization (ISRU); microwave power transmission; autonomous robotics; orbital energy relay; lunar infrastructure; energy geopolitics</w:t>
      </w:r>
    </w:p>
    <w:p w14:paraId="00000004" w14:textId="77777777" w:rsidR="006B7F5B" w:rsidRPr="001338D8" w:rsidRDefault="006B7F5B"/>
    <w:p w14:paraId="00000005" w14:textId="77777777" w:rsidR="006B7F5B" w:rsidRPr="001338D8" w:rsidRDefault="006B7F5B"/>
    <w:p w14:paraId="00000006" w14:textId="77777777" w:rsidR="006B7F5B" w:rsidRPr="001338D8" w:rsidRDefault="00000000">
      <w:pPr>
        <w:rPr>
          <w:b/>
        </w:rPr>
      </w:pPr>
      <w:r w:rsidRPr="001338D8">
        <w:rPr>
          <w:b/>
        </w:rPr>
        <w:t>Abstract</w:t>
      </w:r>
      <w:r w:rsidRPr="001338D8">
        <w:rPr>
          <w:b/>
        </w:rPr>
        <w:br/>
      </w:r>
    </w:p>
    <w:p w14:paraId="00000007" w14:textId="77777777" w:rsidR="006B7F5B" w:rsidRPr="001338D8" w:rsidRDefault="00000000">
      <w:pPr>
        <w:spacing w:before="240" w:after="240"/>
      </w:pPr>
      <w:r w:rsidRPr="001338D8">
        <w:t>Escalating needs for energy systems that are both sustainable and have high capacity drives the need for transformative breakthroughs beyond the terrestrial constraints. Space-based solar power (SBSP) is one such idea that can provide an abundant clean energy resource with un-interrupted solar energy collection in space. In this work, we analyze the technical, economic, and geopolitical economics of the Lunar Solar Belt—a network of continuous solar photovoltaic devices that orbit around the Moon's equator, collecting solar power and beaming it to Earth in the form of high-efficiency microwave emission. Exploiting the reliable sunlight v the moon, the availability of uncrusted ore and it sustaining a stable vacuum start as an emergent Global Net Zero Transition Mainstay.</w:t>
      </w:r>
    </w:p>
    <w:p w14:paraId="00000008" w14:textId="77777777" w:rsidR="006B7F5B" w:rsidRPr="001338D8" w:rsidRDefault="00000000">
      <w:pPr>
        <w:spacing w:before="240" w:after="240"/>
      </w:pPr>
      <w:r w:rsidRPr="001338D8">
        <w:t>The idea is based on decades of SBSP studies and includes modern launch vehicle economics, ISRU, autonomous construction robots, and wireless power transmission. Lunar-based SBSP systems are not limited by the cost and space debris concerns of geostationary solar satellites; rather, the systems are constructed using material from the Moon itself to produce solar panels, which vastly decreases the mass that must be launched from the Earth’s surface. The lunar equator receives almost continuous sunlight, especially during an extended lunar “daytime” and can provide consistent solar harvest and limited solar downtime. Sintered regolith forms the photovoltaic substrates of the proposed system, which is erected, maintained and expanded by a team of robotic assemblers that could also be self-replicating.</w:t>
      </w:r>
    </w:p>
    <w:p w14:paraId="00000009" w14:textId="17BB3C32" w:rsidR="006B7F5B" w:rsidRPr="001338D8" w:rsidRDefault="00000000">
      <w:pPr>
        <w:spacing w:before="240" w:after="240"/>
      </w:pPr>
      <w:r w:rsidRPr="001338D8">
        <w:t xml:space="preserve">One of the major innovation of this infrastructure is to use a three-layered energy transmission system. Microwave transmitters standing on the </w:t>
      </w:r>
      <w:r w:rsidR="000615C5" w:rsidRPr="001338D8">
        <w:t>moon belt</w:t>
      </w:r>
      <w:r w:rsidRPr="001338D8">
        <w:t xml:space="preserve"> are the first step that convert solar power into 2.45 GHz or 5.8 GHz microwave </w:t>
      </w:r>
      <w:r w:rsidR="000615C5" w:rsidRPr="001338D8">
        <w:t>by</w:t>
      </w:r>
      <w:r w:rsidRPr="001338D8">
        <w:t xml:space="preserve"> sus. It does this via a pair of orbital relay satellites, stationed in geostationary orbit, </w:t>
      </w:r>
      <w:r w:rsidR="000615C5" w:rsidRPr="001338D8">
        <w:t>which</w:t>
      </w:r>
      <w:r w:rsidRPr="001338D8">
        <w:t xml:space="preserve"> intercept these beams and redirect them with exquisite granularity in the direction of the Earth. Thirdly, rectifying antennas (rectennas) on Earth </w:t>
      </w:r>
      <w:r w:rsidR="000615C5" w:rsidRPr="001338D8">
        <w:t>turns</w:t>
      </w:r>
      <w:r w:rsidRPr="001338D8">
        <w:t> the energy into useful electricity. This multi-tiered capability guarantees a constant delivery of power, compensates the beam's axial, radial, and angular misalignments given by lunar libration and increases the security by incorporation of multiple interlocks and shut off capabilities.</w:t>
      </w:r>
    </w:p>
    <w:p w14:paraId="0000000A" w14:textId="77777777" w:rsidR="006B7F5B" w:rsidRPr="001338D8" w:rsidRDefault="006B7F5B">
      <w:pPr>
        <w:spacing w:before="240" w:after="240"/>
      </w:pPr>
    </w:p>
    <w:p w14:paraId="0000000B" w14:textId="12658A60" w:rsidR="006B7F5B" w:rsidRPr="001338D8" w:rsidRDefault="00000000">
      <w:pPr>
        <w:spacing w:before="240" w:after="240"/>
      </w:pPr>
      <w:r w:rsidRPr="001338D8">
        <w:t xml:space="preserve">The proposed economic model for this system includes downward launch-cost pressure falling below ~$100/kg, via vehicles such as SpaceX’s Starship, combined with less reliance on construction materials sourced from Earth. A </w:t>
      </w:r>
      <w:r w:rsidR="000615C5" w:rsidRPr="001338D8">
        <w:t>30-year</w:t>
      </w:r>
      <w:r w:rsidRPr="001338D8">
        <w:t> period EROI calculation estimates EROI ratio of 8:1 under conservative estimates. Capital costs are concentrated in early ISRU and robotic industrial installations, after which exponential expansion of the solar belt can occur because production is local. Its levelized cost of electricity, the long-term amount of money it will take to generate a unit of energy, is expected to fall into or below the nuclear and utility-scale solar costs. Market analysis indicates strong economic viability in regions with either high energy poverty, transmission grid instability, or economic dependence on imported baseload power.</w:t>
      </w:r>
    </w:p>
    <w:p w14:paraId="0000000C" w14:textId="7320DB8D" w:rsidR="006B7F5B" w:rsidRPr="001338D8" w:rsidRDefault="00000000">
      <w:pPr>
        <w:spacing w:before="240" w:after="240"/>
      </w:pPr>
      <w:r w:rsidRPr="001338D8">
        <w:t xml:space="preserve">Environmental impacts of the system are much less than </w:t>
      </w:r>
      <w:r w:rsidR="000615C5" w:rsidRPr="001338D8">
        <w:t>those</w:t>
      </w:r>
      <w:r w:rsidRPr="001338D8">
        <w:t xml:space="preserve"> of the fossil one. The Lunar Solar Belt is an emissionless generator, producing no byproduct waste heat or harmful gases. On Earth, its footprint is mostly rectenna farms, which can be sited in unpopulated areas such as the ocean without ecological changes. And the lunar surface, which is not biospheric, is stable, and good for industrial-scale energy infrastructure. Safety issues, especially those related to the misalignment of microwave beams, are covered by beam-width </w:t>
      </w:r>
      <w:r w:rsidR="000615C5" w:rsidRPr="001338D8">
        <w:t>restrictions</w:t>
      </w:r>
      <w:r w:rsidRPr="001338D8">
        <w:t>, power density limits and several layers of instantaneous beam watching.</w:t>
      </w:r>
    </w:p>
    <w:p w14:paraId="0000000D" w14:textId="77777777" w:rsidR="006B7F5B" w:rsidRPr="001338D8" w:rsidRDefault="006B7F5B">
      <w:pPr>
        <w:spacing w:before="240" w:after="240"/>
      </w:pPr>
    </w:p>
    <w:p w14:paraId="0000000E" w14:textId="5526BFA8" w:rsidR="006B7F5B" w:rsidRPr="001338D8" w:rsidRDefault="00000000">
      <w:pPr>
        <w:spacing w:before="240" w:after="240"/>
      </w:pPr>
      <w:r w:rsidRPr="001338D8">
        <w:t xml:space="preserve">But the geopolitical consequences are complicated. There is currently an international legal regime, primarily represented by the Outer Space Treaty, that bars national appropriation of </w:t>
      </w:r>
      <w:r w:rsidR="000615C5" w:rsidRPr="001338D8">
        <w:t>heavens</w:t>
      </w:r>
      <w:r w:rsidRPr="001338D8">
        <w:t>, yet resource exploitation remains governed by an opaque rubric. This uncertainty is likely to lead to disputes regarding lunar land access, rights to energy, and allocation of orbital slots. Consequently, this paper recommends the Earth-Moon Energy Accord (</w:t>
      </w:r>
      <w:r w:rsidR="000615C5" w:rsidRPr="001338D8">
        <w:t>EMEA)</w:t>
      </w:r>
      <w:r w:rsidRPr="001338D8">
        <w:t>which is a multilateral regime in the United Nations (UN) system to govern lunar energy activities, to promote fair access, and to foster confidence-building. The agreement would outline revenue-sharing models, transparency requirements, safety certification rules and dispute resolution processes. International collaboration is not just key to peaceful uses, but in guaranteeing that moon energy does not just become a bonanza for those countries or companies with launch capability.</w:t>
      </w:r>
    </w:p>
    <w:p w14:paraId="0000000F" w14:textId="77777777" w:rsidR="006B7F5B" w:rsidRPr="001338D8" w:rsidRDefault="00000000">
      <w:pPr>
        <w:spacing w:before="240" w:after="240"/>
      </w:pPr>
      <w:r w:rsidRPr="001338D8">
        <w:t>Strategically, though, the Lunar Solar Belt is about more than energy; it’s about a platform for working with the whole planet. It contributes to the UN Sustainable Development Goals with action on clean energy (SDG 7), climate (SDG 13) and international partnership (SDG 17). Linking space and energy policy, this project could turn the Moon into a shared utility for our planet, rather than an arena of international competition as occurred in the Cold War. It also retains a cultural and educational impact, to energize public imagination about lunar exploration, science and co-operative technological futures.</w:t>
      </w:r>
    </w:p>
    <w:p w14:paraId="00000010" w14:textId="77777777" w:rsidR="006B7F5B" w:rsidRPr="001338D8" w:rsidRDefault="006B7F5B">
      <w:pPr>
        <w:spacing w:before="240" w:after="240"/>
      </w:pPr>
    </w:p>
    <w:p w14:paraId="00000011" w14:textId="536B8B56" w:rsidR="006B7F5B" w:rsidRPr="001338D8" w:rsidRDefault="00000000">
      <w:pPr>
        <w:spacing w:before="240" w:after="240"/>
      </w:pPr>
      <w:r w:rsidRPr="001338D8">
        <w:lastRenderedPageBreak/>
        <w:t xml:space="preserve">Hence, </w:t>
      </w:r>
      <w:r w:rsidR="000615C5" w:rsidRPr="001338D8">
        <w:t>this</w:t>
      </w:r>
      <w:r w:rsidRPr="001338D8">
        <w:t xml:space="preserve"> study shows that a Lunar Solar Belt is technically feasible and strategically desirable. That is a clean, scalable, geopolitically inclusive answer to Earth’s energy troubles. Integrated with ISRU, autonomous robotics, and power beaming technology and robust international governance, the Lunar Solar Belt would be a main feature of global decarbonization. The subsequent steps will be the establishment of prototypes of </w:t>
      </w:r>
      <w:r w:rsidR="000615C5" w:rsidRPr="001338D8">
        <w:t>crucial</w:t>
      </w:r>
      <w:r w:rsidRPr="001338D8">
        <w:t xml:space="preserve"> ISRU and construction technologies and the involvement of stakeholders in policy dialogues, as well as the formalization of international partnerships. If carefully managed and shared, the Moon could shine a new kind of light back down on Earth, not just with </w:t>
      </w:r>
      <w:r w:rsidR="000615C5" w:rsidRPr="001338D8">
        <w:t>photos</w:t>
      </w:r>
      <w:r w:rsidRPr="001338D8">
        <w:t>, but with the hope of a sustainable, cooperative future.</w:t>
      </w:r>
    </w:p>
    <w:p w14:paraId="00000012" w14:textId="77777777" w:rsidR="006B7F5B" w:rsidRPr="001338D8" w:rsidRDefault="006B7F5B">
      <w:pPr>
        <w:spacing w:before="240" w:after="240"/>
      </w:pPr>
    </w:p>
    <w:p w14:paraId="00000013" w14:textId="77777777" w:rsidR="006B7F5B" w:rsidRPr="001338D8" w:rsidRDefault="00000000">
      <w:pPr>
        <w:rPr>
          <w:b/>
        </w:rPr>
      </w:pPr>
      <w:r w:rsidRPr="001338D8">
        <w:rPr>
          <w:b/>
        </w:rPr>
        <w:t>1. Introduction</w:t>
      </w:r>
      <w:r w:rsidRPr="001338D8">
        <w:rPr>
          <w:b/>
        </w:rPr>
        <w:br/>
      </w:r>
    </w:p>
    <w:p w14:paraId="00000014" w14:textId="77777777" w:rsidR="006B7F5B" w:rsidRPr="001338D8" w:rsidRDefault="00000000">
      <w:pPr>
        <w:spacing w:before="240" w:after="240"/>
      </w:pPr>
      <w:r w:rsidRPr="001338D8">
        <w:t>With increasing climate change risk, energy insecurity, and terrestrial renewable infrastructure constraints, space-based solar power (SBSP) has resurfaced as a promising answer. 61.Lifting solar propulsion holds a promise to capture solar energy at high pulse, continuously and free from atmospheric complications or daily cycles. The most feasible SBSP concept is a lunar-based one, in particular a linear photovoltaic array on the Moon’s equator is singular in its existence.</w:t>
      </w:r>
    </w:p>
    <w:p w14:paraId="00000015" w14:textId="77777777" w:rsidR="006B7F5B" w:rsidRPr="001338D8" w:rsidRDefault="006B7F5B">
      <w:pPr>
        <w:spacing w:before="240" w:after="240"/>
      </w:pPr>
    </w:p>
    <w:p w14:paraId="00000016" w14:textId="77777777" w:rsidR="006B7F5B" w:rsidRPr="001338D8" w:rsidRDefault="00000000">
      <w:pPr>
        <w:spacing w:before="240" w:after="240"/>
      </w:pPr>
      <w:r w:rsidRPr="001338D8">
        <w:t>The candidate scheme referred to as Lunar Solar Belt (LSB) is about making use of the Moon as a solar power plant to harvest solar energy during long lunar days and sending the collected solar energy to Earth using microwave beam. Moreover, in contrast to terrestrial solar systems which are unreliable and take up valuable land, the Moon’s equatorial region has continuous sun exposure, no weather and plenty of unused surface. The key is that the lunar regolith is full of silicon, oxygen and metals that can be used in in-situ par the resource utilization (ISRU) to build the solar panels right on the Moon--greatly diminishing the need to launch materials from earth.</w:t>
      </w:r>
    </w:p>
    <w:p w14:paraId="00000017" w14:textId="77777777" w:rsidR="006B7F5B" w:rsidRPr="001338D8" w:rsidRDefault="006B7F5B">
      <w:pPr>
        <w:spacing w:before="240" w:after="240"/>
      </w:pPr>
    </w:p>
    <w:p w14:paraId="00000018" w14:textId="6F858158" w:rsidR="006B7F5B" w:rsidRPr="001338D8" w:rsidRDefault="00000000">
      <w:pPr>
        <w:spacing w:before="240" w:after="240"/>
      </w:pPr>
      <w:r w:rsidRPr="001338D8">
        <w:t xml:space="preserve">This proposal outlines a phased plan from robotic ISRU demonstrators paired with pilot transmission systems, on to the autonomous construction of equatorial solar arrays, and finally the addition of a GEO orbital relay network for beaming power to terrestrial receivers. At the core of the system are four enabling technologies: Automated self-replicating lunar construction robotics, sintered regolith solar arrays, high-efficiency microwave power transmitters, and an orbiting precision guided energy relay system. Together, these </w:t>
      </w:r>
      <w:r w:rsidR="000615C5" w:rsidRPr="001338D8">
        <w:t>constructions</w:t>
      </w:r>
      <w:r w:rsidRPr="001338D8">
        <w:t xml:space="preserve"> form a closed loop with an exponential growth rate and the ability to sustain power output.</w:t>
      </w:r>
    </w:p>
    <w:p w14:paraId="00000019" w14:textId="77777777" w:rsidR="006B7F5B" w:rsidRPr="001338D8" w:rsidRDefault="006B7F5B">
      <w:pPr>
        <w:spacing w:before="240" w:after="240"/>
      </w:pPr>
    </w:p>
    <w:p w14:paraId="0000001A" w14:textId="77777777" w:rsidR="006B7F5B" w:rsidRPr="001338D8" w:rsidRDefault="00000000">
      <w:pPr>
        <w:spacing w:before="240" w:after="240"/>
      </w:pPr>
      <w:r w:rsidRPr="001338D8">
        <w:lastRenderedPageBreak/>
        <w:t>Economically, the LSB builds on the falling launch cost enabled by heavy-lift vehicles such as Starship. A 30 year energy return on energy investment (EROI) analysis indicates that with conservative assumptions the system has the potential to outperform conventional base-load sources with a net minable EROI of 8:1. This places the LSB as more than a technological benchmark, but potentially competitively priced clean energy that is consistent with global decarbonization objectives.</w:t>
      </w:r>
    </w:p>
    <w:p w14:paraId="0000001B" w14:textId="77777777" w:rsidR="006B7F5B" w:rsidRPr="001338D8" w:rsidRDefault="006B7F5B">
      <w:pPr>
        <w:spacing w:before="240" w:after="240"/>
      </w:pPr>
    </w:p>
    <w:p w14:paraId="0000001C" w14:textId="77777777" w:rsidR="006B7F5B" w:rsidRPr="001338D8" w:rsidRDefault="00000000">
      <w:pPr>
        <w:spacing w:before="240" w:after="240"/>
      </w:pPr>
      <w:r w:rsidRPr="001338D8">
        <w:t>But as with most everything, the technical feasibility is just one piece of the puzzle. The use of lunar substances and space for commercial energy systems raises thorny governance issues in the existing regime of international space authority. The Outer Space Treaty bans territorial claims, which is pretty clear, but is less than clear on making use of resources or energy. To accommodate this possibility, the paper suggests the Earth-Moon Energy Accord, a multilaterally agreed commitment to open, fair and non-aggressive building of lunar infrastructure.</w:t>
      </w:r>
    </w:p>
    <w:p w14:paraId="0000001D" w14:textId="77777777" w:rsidR="006B7F5B" w:rsidRPr="001338D8" w:rsidRDefault="006B7F5B">
      <w:pPr>
        <w:spacing w:before="240" w:after="240"/>
      </w:pPr>
    </w:p>
    <w:p w14:paraId="0000001E" w14:textId="662C863B" w:rsidR="006B7F5B" w:rsidRPr="001338D8" w:rsidRDefault="00000000">
      <w:pPr>
        <w:spacing w:before="240" w:after="240"/>
      </w:pPr>
      <w:r w:rsidRPr="001338D8">
        <w:t xml:space="preserve">In conclusion: the LMC is a strategic path forward to </w:t>
      </w:r>
      <w:r w:rsidR="000615C5" w:rsidRPr="001338D8">
        <w:t>overcoming</w:t>
      </w:r>
      <w:r w:rsidRPr="001338D8">
        <w:t xml:space="preserve"> terrestrial energy limitations and can lobby planetary-scale cooperation. Here we develop an end-to-end feasibility model for achieving such a system—covering technological systems, economic modeling, and governance considerations—enabling a future in which the Moon acts as Earth’s most powerful and accessible energy provider.</w:t>
      </w:r>
    </w:p>
    <w:p w14:paraId="0000001F" w14:textId="77777777" w:rsidR="006B7F5B" w:rsidRPr="001338D8" w:rsidRDefault="006B7F5B">
      <w:pPr>
        <w:spacing w:before="240" w:after="240"/>
      </w:pPr>
    </w:p>
    <w:p w14:paraId="00000020" w14:textId="77777777" w:rsidR="006B7F5B" w:rsidRPr="001338D8" w:rsidRDefault="00000000">
      <w:pPr>
        <w:rPr>
          <w:b/>
        </w:rPr>
      </w:pPr>
      <w:r w:rsidRPr="001338D8">
        <w:rPr>
          <w:b/>
        </w:rPr>
        <w:t>2. Historical and Conceptual Background</w:t>
      </w:r>
      <w:r w:rsidRPr="001338D8">
        <w:rPr>
          <w:b/>
        </w:rPr>
        <w:br/>
      </w:r>
    </w:p>
    <w:p w14:paraId="00000021" w14:textId="53C9A415" w:rsidR="006B7F5B" w:rsidRPr="001338D8" w:rsidRDefault="00000000">
      <w:pPr>
        <w:spacing w:before="240" w:after="240"/>
      </w:pPr>
      <w:r w:rsidRPr="001338D8">
        <w:t xml:space="preserve">Space based solar power (SBSP) </w:t>
      </w:r>
      <w:r w:rsidR="000615C5" w:rsidRPr="001338D8">
        <w:t>is not</w:t>
      </w:r>
      <w:r w:rsidRPr="001338D8">
        <w:t xml:space="preserve"> exactly a novel concept. Originally proposed by aerospace engineer Peter Glaser in the late 1960s, it would involve giant solar arrays in geostationary orbit collecting sunlight and beaming energy back to the ground in the form of microwave beams. The idea was technically radical but economically and logistically unrealistic at the time, given the brutal expense of interchange costs, the fledgling nature of materials science, and the relative primitivism of wireless power delivery. </w:t>
      </w:r>
      <w:r w:rsidR="000615C5" w:rsidRPr="001338D8">
        <w:t>However,</w:t>
      </w:r>
      <w:r w:rsidRPr="001338D8">
        <w:t xml:space="preserve"> Glaser’s early work, which began with his 1973 U.S. patent (no 3,781,647), became the basis of nearly half a century of SBSP studies by NASA, the U.S. Department of Energy, the European Space Agency (ESA), and Japanese space agencies.</w:t>
      </w:r>
    </w:p>
    <w:p w14:paraId="00000022" w14:textId="66CFF27A" w:rsidR="006B7F5B" w:rsidRPr="001338D8" w:rsidRDefault="00000000">
      <w:pPr>
        <w:spacing w:before="240" w:after="240"/>
      </w:pPr>
      <w:r w:rsidRPr="001338D8">
        <w:t xml:space="preserve">In the 1970s and 1980s, SBSP was mostly confined to the realm of concept and theory. NASA and DOE have partnered on investigations to design a satellite and a microwave beam, and all have come to the same conclusion as that for JR in terms of energy and economic return versus high capital outlay. These initial concepts also relied on Earth-based satellites, which imposed major limitations on scalability since the cost was prohibitively </w:t>
      </w:r>
      <w:r w:rsidR="000615C5" w:rsidRPr="001338D8">
        <w:t>high,</w:t>
      </w:r>
      <w:r w:rsidRPr="001338D8">
        <w:t xml:space="preserve"> and the payload </w:t>
      </w:r>
      <w:r w:rsidRPr="001338D8">
        <w:lastRenderedPageBreak/>
        <w:t>mass was too large. Back then ISRU and autonomous robotics were in their infancy, and reusable launch systems did not exist.</w:t>
      </w:r>
    </w:p>
    <w:p w14:paraId="00000023" w14:textId="261457F6" w:rsidR="006B7F5B" w:rsidRPr="001338D8" w:rsidRDefault="00000000">
      <w:pPr>
        <w:spacing w:before="240" w:after="240"/>
      </w:pPr>
      <w:r w:rsidRPr="001338D8">
        <w:t xml:space="preserve">Interest at a reduced level (primarily academic studies and speculative engineering studies) continued through the 1990s and 2000s with some </w:t>
      </w:r>
      <w:r w:rsidR="000615C5" w:rsidRPr="001338D8">
        <w:t>public engineering</w:t>
      </w:r>
      <w:r w:rsidRPr="001338D8">
        <w:t xml:space="preserve"> proposals. The Japanese Aerospace Exploration Agency (JAXA) was a frequent advocate, launching multiple technology demonstrations and promoting the </w:t>
      </w:r>
      <w:r w:rsidR="000615C5" w:rsidRPr="001338D8">
        <w:t>real-world</w:t>
      </w:r>
      <w:r w:rsidRPr="001338D8">
        <w:t xml:space="preserve"> value of the technology to the likes of isolated areas or disaster zones. At the same time, the idea started to crop up in long-range space policy documents as an asset for energy and defense. This initiative did not succeed in unleashing sizeable investments from public or private sources, and SBSP remained firmly in the domain of the speculative or the very long term.</w:t>
      </w:r>
    </w:p>
    <w:p w14:paraId="00000024" w14:textId="77777777" w:rsidR="006B7F5B" w:rsidRPr="001338D8" w:rsidRDefault="006B7F5B">
      <w:pPr>
        <w:spacing w:before="240" w:after="240"/>
      </w:pPr>
    </w:p>
    <w:p w14:paraId="00000025" w14:textId="77777777" w:rsidR="006B7F5B" w:rsidRPr="001338D8" w:rsidRDefault="00000000">
      <w:pPr>
        <w:spacing w:before="240" w:after="240"/>
      </w:pPr>
      <w:r w:rsidRPr="001338D8">
        <w:t>The 2010s were a turning point. A cluster of parallel technological breakthroughs began converging: the cost of manufacturing photovoltaics tumbled, driven down by the terrestrial solar boom; wireless power transfer improved slightly in both efficiency and beam stability; and, critically, commercial spaceflight had a renaissance. Private companies like SpaceX, Blue Origin and others proved that reusing rockets was possible and cut launch costs by orders of magnitude. Suddenly, the economics of moving massive payloads into LEO, which had long been the most problematic aspect of SBSP, were changing.</w:t>
      </w:r>
    </w:p>
    <w:p w14:paraId="00000026" w14:textId="77777777" w:rsidR="006B7F5B" w:rsidRPr="001338D8" w:rsidRDefault="00000000">
      <w:pPr>
        <w:spacing w:before="240" w:after="240"/>
      </w:pPr>
      <w:r w:rsidRPr="001338D8">
        <w:t>In this environment, lunar-SBSP began to be considered as an entirely new option and possibly a better alternative than GEO. There are several attractive features of the Moon SBSP platforms compared to Earth-orbit SBSP platforms:</w:t>
      </w:r>
    </w:p>
    <w:p w14:paraId="00000027" w14:textId="77777777" w:rsidR="006B7F5B" w:rsidRPr="001338D8" w:rsidRDefault="00000000">
      <w:pPr>
        <w:spacing w:before="240" w:after="240"/>
      </w:pPr>
      <w:r w:rsidRPr="001338D8">
        <w:t>Resource availability: Lunar regolith is abundant in silicon dioxide, aluminum oxide, iron oxides, and trace rare earth elements—all necessary for photovoltaic and structural production. ISRU processes such as sintering, molten regolith electrolysis, and chemical vapor deposition are under active development to extract materials from the regolith.</w:t>
      </w:r>
    </w:p>
    <w:p w14:paraId="00000028" w14:textId="77777777" w:rsidR="006B7F5B" w:rsidRPr="001338D8" w:rsidRDefault="00000000">
      <w:pPr>
        <w:spacing w:before="240" w:after="240"/>
      </w:pPr>
      <w:r w:rsidRPr="001338D8">
        <w:t>Environmental Steady State: There is no air, no weather, and, of course, no life on the lunar surface. Such conditions minimize equipment fatigue and eliminate environmental concerns that are typically associated with terrestrial or orbital mega-structures.</w:t>
      </w:r>
    </w:p>
    <w:p w14:paraId="00000029" w14:textId="7B32F2DE" w:rsidR="006B7F5B" w:rsidRPr="001338D8" w:rsidRDefault="00000000">
      <w:pPr>
        <w:spacing w:before="240" w:after="240"/>
      </w:pPr>
      <w:r w:rsidRPr="001338D8">
        <w:t xml:space="preserve">The Impossibility of Regolith! Solar Continuity Although the Moon has a </w:t>
      </w:r>
      <w:r w:rsidR="000615C5" w:rsidRPr="001338D8">
        <w:t>29.5-day</w:t>
      </w:r>
      <w:r w:rsidRPr="001338D8">
        <w:t xml:space="preserve"> day-night cycle, the equatorial region can bask in near-continuous sunlight for more than </w:t>
      </w:r>
      <w:r w:rsidR="000615C5" w:rsidRPr="001338D8">
        <w:t>fourteen</w:t>
      </w:r>
      <w:r w:rsidRPr="001338D8">
        <w:t xml:space="preserve"> earth days before going into a brief period of relatively short eclipses. By carefully positioning and storing power, a belt in the equatorial region is capable of quasi-continuous power extraction.</w:t>
      </w:r>
    </w:p>
    <w:p w14:paraId="0000002A" w14:textId="6A46E8B2" w:rsidR="006B7F5B" w:rsidRPr="001338D8" w:rsidRDefault="00000000">
      <w:pPr>
        <w:spacing w:before="240" w:after="240"/>
      </w:pPr>
      <w:r w:rsidRPr="001338D8">
        <w:t xml:space="preserve">Structurally Anchored: Moonspace is not in-orbit and does not need to be constantly station-kept, which means there is no risk of running into other structures in the same lunar gravity well. This facilitates more </w:t>
      </w:r>
      <w:r w:rsidR="000615C5" w:rsidRPr="001338D8">
        <w:t>economic</w:t>
      </w:r>
      <w:r w:rsidRPr="001338D8">
        <w:t xml:space="preserve"> construction, maintenance, and running over the long term.</w:t>
      </w:r>
    </w:p>
    <w:p w14:paraId="0000002B" w14:textId="77777777" w:rsidR="006B7F5B" w:rsidRPr="001338D8" w:rsidRDefault="006B7F5B">
      <w:pPr>
        <w:spacing w:before="240" w:after="240"/>
      </w:pPr>
    </w:p>
    <w:p w14:paraId="0000002C" w14:textId="77777777" w:rsidR="006B7F5B" w:rsidRPr="001338D8" w:rsidRDefault="00000000">
      <w:pPr>
        <w:spacing w:before="240" w:after="240"/>
      </w:pPr>
      <w:r w:rsidRPr="001338D8">
        <w:lastRenderedPageBreak/>
        <w:t>4 The debut of the Artemis Program, NASA’s blueprint for bringing humans back to the Moon and arranging for a permanent presence, has provided an additional sheen of respectability over the lunar industrialization meme. It has set the stage for public-private partnerships to develop lunar landing, surface mobility, habitat and ISRU technologies. These go hand in hand with the requirements of a Lunar Solar Belt, which would make extensive use of autonomous robotic construction and in-sight manufacturing.</w:t>
      </w:r>
    </w:p>
    <w:p w14:paraId="0000002D" w14:textId="60BD7A18" w:rsidR="006B7F5B" w:rsidRPr="001338D8" w:rsidRDefault="00000000">
      <w:pPr>
        <w:spacing w:before="240" w:after="240"/>
      </w:pPr>
      <w:r w:rsidRPr="001338D8">
        <w:t xml:space="preserve">From a conceptual perspective, the Lunar Solar Belt also represents a new semblance for human energy infrastructure. It really does represent the idea of global systems, of solutions that are not shrinking at national borders, </w:t>
      </w:r>
      <w:r w:rsidR="000615C5" w:rsidRPr="001338D8">
        <w:t>which</w:t>
      </w:r>
      <w:r w:rsidRPr="001338D8">
        <w:t xml:space="preserve"> result not </w:t>
      </w:r>
      <w:r w:rsidR="000615C5" w:rsidRPr="001338D8">
        <w:t>only in</w:t>
      </w:r>
      <w:r w:rsidRPr="001338D8">
        <w:t xml:space="preserve"> gigantic systems in extraterrestrial environments that can process 24/7 without being constrained by earthbound input. These systems challenge conceptions of energy as property, rights, regulation, and access, and require new perspectives in the context of international law and transboundary governance.</w:t>
      </w:r>
    </w:p>
    <w:p w14:paraId="0000002E" w14:textId="4179559E" w:rsidR="006B7F5B" w:rsidRPr="001338D8" w:rsidRDefault="00000000">
      <w:pPr>
        <w:spacing w:before="240" w:after="240"/>
      </w:pPr>
      <w:r w:rsidRPr="001338D8">
        <w:t xml:space="preserve">Moreover, the Lunar Solar Belt crosses with new approaches to astroethics and to space equity. As space becomes more accessible, who benefits from resources in space? Without careful policy planning, lunar energy systems could worsen existing </w:t>
      </w:r>
      <w:r w:rsidR="000615C5" w:rsidRPr="001338D8">
        <w:t>inequalities or</w:t>
      </w:r>
      <w:r w:rsidRPr="001338D8">
        <w:t xml:space="preserve"> even spur geopolitical conflict. Alternatively, operating under a regime of transparency, multilateral governance, and mutual benefit, the LSB might serve as a standard bearer for a new age of cooperative planetary care.</w:t>
      </w:r>
    </w:p>
    <w:p w14:paraId="0000002F" w14:textId="77777777" w:rsidR="006B7F5B" w:rsidRPr="001338D8" w:rsidRDefault="00000000">
      <w:pPr>
        <w:spacing w:before="240" w:after="240"/>
      </w:pPr>
      <w:r w:rsidRPr="001338D8">
        <w:t>Strategically, the LSB is a dual-use facility with both civilian and military value. The capability to send energy to isolated land locations could be used for disaster relief, forward-based military operations, or off-grid research installations. But it also generates questions about beam weaponization, space militarization and monopoly over the orbital lanes. This highlights the importance of building trust through measures of assurance, inspection, and monitoring to prevent misuse.</w:t>
      </w:r>
    </w:p>
    <w:p w14:paraId="00000030" w14:textId="77777777" w:rsidR="006B7F5B" w:rsidRPr="001338D8" w:rsidRDefault="006B7F5B">
      <w:pPr>
        <w:spacing w:before="240" w:after="240"/>
      </w:pPr>
    </w:p>
    <w:p w14:paraId="00000031" w14:textId="7AFE7E0C" w:rsidR="006B7F5B" w:rsidRPr="001338D8" w:rsidRDefault="00000000">
      <w:pPr>
        <w:spacing w:before="240" w:after="240"/>
      </w:pPr>
      <w:r w:rsidRPr="001338D8">
        <w:t xml:space="preserve">In conclusion, the idea of a space-based solar power system has transitioned from a high-cost dream to a possible solution by the synergy of technology, the turning of the tide of lunar missions, and new economic factors. The move on from orbital to lunar systems is the natural next step, bridging the advantages of SBSP with the unexploited resources on the Moon. The Lunar Solar Belt is a culmination of theoretical models from decades </w:t>
      </w:r>
      <w:r w:rsidR="000615C5" w:rsidRPr="001338D8">
        <w:t>end; it</w:t>
      </w:r>
      <w:r w:rsidRPr="001338D8">
        <w:t xml:space="preserve"> changes the conversation from speculation to implementation.</w:t>
      </w:r>
    </w:p>
    <w:p w14:paraId="00000032" w14:textId="77777777" w:rsidR="006B7F5B" w:rsidRPr="001338D8" w:rsidRDefault="00000000">
      <w:pPr>
        <w:spacing w:before="240" w:after="240"/>
      </w:pPr>
      <w:r w:rsidRPr="001338D8">
        <w:t>The literature review in this chapter describes the historical classification and conceptual base of the LSB, which in the following chapters will be scrutinized for technical design, economic modeling, environmental analysis and policy management.</w:t>
      </w:r>
    </w:p>
    <w:p w14:paraId="00000033" w14:textId="77777777" w:rsidR="006B7F5B" w:rsidRPr="001338D8" w:rsidRDefault="006B7F5B">
      <w:pPr>
        <w:spacing w:before="240" w:after="240"/>
      </w:pPr>
    </w:p>
    <w:p w14:paraId="00000034" w14:textId="77777777" w:rsidR="006B7F5B" w:rsidRPr="001338D8" w:rsidRDefault="00000000">
      <w:pPr>
        <w:rPr>
          <w:b/>
        </w:rPr>
      </w:pPr>
      <w:r w:rsidRPr="001338D8">
        <w:rPr>
          <w:b/>
        </w:rPr>
        <w:t>3. Technical Feasibility</w:t>
      </w:r>
      <w:r w:rsidRPr="001338D8">
        <w:rPr>
          <w:b/>
        </w:rPr>
        <w:br/>
      </w:r>
    </w:p>
    <w:p w14:paraId="00000035" w14:textId="77777777" w:rsidR="006B7F5B" w:rsidRPr="001338D8" w:rsidRDefault="00000000">
      <w:pPr>
        <w:spacing w:before="240" w:after="240"/>
      </w:pPr>
      <w:r w:rsidRPr="001338D8">
        <w:lastRenderedPageBreak/>
        <w:t>The development of a Lunar Solar Belt (LSB) depends on a number of closely related technological systems. Even though some of these technologies are in prototype or early implementation stages, their integration and readiness are discussed in this section for large-scale application. It explores key sub-systems that the LSB relies on such as In-situ Resource Utilisation (ISRU), autonomous construction vehicles, manufacturing photovoltaics from lunar regolith, microwave power beaming (can be compared to beaming energy down from space stations), orbital energy relay networks, and more.</w:t>
      </w:r>
    </w:p>
    <w:p w14:paraId="00000036" w14:textId="77777777" w:rsidR="006B7F5B" w:rsidRPr="001338D8" w:rsidRDefault="00000000">
      <w:pPr>
        <w:spacing w:before="240" w:after="240"/>
        <w:rPr>
          <w:b/>
        </w:rPr>
      </w:pPr>
      <w:r w:rsidRPr="001338D8">
        <w:rPr>
          <w:b/>
        </w:rPr>
        <w:t>3.1. In-Situ Resource Use (ISRU)</w:t>
      </w:r>
    </w:p>
    <w:p w14:paraId="00000037" w14:textId="6E722996" w:rsidR="006B7F5B" w:rsidRPr="001338D8" w:rsidRDefault="00000000">
      <w:pPr>
        <w:spacing w:before="240" w:after="240"/>
      </w:pPr>
      <w:r w:rsidRPr="001338D8">
        <w:t xml:space="preserve">The Lunar Solar Belt is economically and logistically challenged and ISRU is a keystone requirement for the LSSB. The uninformed idea of sending material up to the moon from the Earth to construct a planet-wide system is not </w:t>
      </w:r>
      <w:r w:rsidR="000615C5" w:rsidRPr="001338D8">
        <w:t>technically</w:t>
      </w:r>
      <w:r w:rsidRPr="001338D8">
        <w:t xml:space="preserve"> feasible and the cost would be outrageous. Lucky for us, the Moon is about 40% (by weight) oxygen in its regolith— </w:t>
      </w:r>
      <w:r w:rsidR="000615C5" w:rsidRPr="001338D8">
        <w:t>it has</w:t>
      </w:r>
      <w:r w:rsidRPr="001338D8">
        <w:t xml:space="preserve"> also got plenty of good old silicon dioxide (SiO2), plus aluminum, magnesium, and iron oxides —the primary ingredients for both photovoltaic and structural materials.</w:t>
      </w:r>
    </w:p>
    <w:p w14:paraId="00000038" w14:textId="57FC80E1" w:rsidR="006B7F5B" w:rsidRPr="001338D8" w:rsidRDefault="00000000">
      <w:pPr>
        <w:spacing w:before="240" w:after="240"/>
      </w:pPr>
      <w:r w:rsidRPr="001338D8">
        <w:t xml:space="preserve">Contemporary ISRU studies have primarily examined sintering and molten regolith electrolysis. Sintering: Heat </w:t>
      </w:r>
      <w:r w:rsidR="000615C5" w:rsidRPr="001338D8">
        <w:t>sauce</w:t>
      </w:r>
      <w:r w:rsidRPr="001338D8">
        <w:t xml:space="preserve"> </w:t>
      </w:r>
      <w:r w:rsidR="000615C5" w:rsidRPr="001338D8">
        <w:t>concentrated on</w:t>
      </w:r>
      <w:r w:rsidRPr="001338D8">
        <w:t xml:space="preserve"> sunlight or just microwave Regolith particles fused together into solid blocks / tiles. Molten regolith electrolysis splits regolith into oxygen and metal alloys with no consumable reagents. Pilot systems such as NASA’s ROxygen and ESA’s Regolith to O2 (RTO2) are developing these processes, also realising higher yields and thermodynamic efficiency. Silicon recovery from regolith is important for local solar cell production and is a topic of ongoing research, with favourable results reported for carbothermal and vacuum reduction processes.</w:t>
      </w:r>
    </w:p>
    <w:p w14:paraId="00000039" w14:textId="77777777" w:rsidR="006B7F5B" w:rsidRPr="001338D8" w:rsidRDefault="00000000">
      <w:pPr>
        <w:spacing w:before="240" w:after="240"/>
        <w:rPr>
          <w:b/>
        </w:rPr>
      </w:pPr>
      <w:r w:rsidRPr="001338D8">
        <w:rPr>
          <w:b/>
        </w:rPr>
        <w:t>3.2. Self-Assembly Robotics</w:t>
      </w:r>
    </w:p>
    <w:p w14:paraId="0000003A" w14:textId="77777777" w:rsidR="006B7F5B" w:rsidRPr="001338D8" w:rsidRDefault="00000000">
      <w:pPr>
        <w:spacing w:before="240" w:after="240"/>
      </w:pPr>
      <w:r w:rsidRPr="001338D8">
        <w:t>Because of the hostile and isolated moon location, the Lunar Solar Belt would rely completely on robot systems for erection, upkeep, and expansion. These robots need to be designed to cope with severe thermal environment including temperatures from -173°C to +127°C, low gravity - one 6th of Earth's and be able to operate under ubiquitous electrostatically charged dust on the moon.</w:t>
      </w:r>
    </w:p>
    <w:p w14:paraId="0000003B" w14:textId="77777777" w:rsidR="006B7F5B" w:rsidRPr="001338D8" w:rsidRDefault="006B7F5B">
      <w:pPr>
        <w:spacing w:before="240" w:after="240"/>
      </w:pPr>
    </w:p>
    <w:p w14:paraId="0000003C" w14:textId="4940D883" w:rsidR="006B7F5B" w:rsidRPr="001338D8" w:rsidRDefault="00000000">
      <w:pPr>
        <w:spacing w:before="240" w:after="240"/>
      </w:pPr>
      <w:r w:rsidRPr="001338D8">
        <w:t xml:space="preserve">Cutting-edge construction robotics include the European Space Agency’s “TeleOperator” system and NASA’s “Swarmies,” from its Swamp Works program, as the functional prototypes. These systems will have to mature </w:t>
      </w:r>
      <w:r w:rsidR="000615C5" w:rsidRPr="001338D8">
        <w:t>having</w:t>
      </w:r>
      <w:r w:rsidRPr="001338D8">
        <w:t xml:space="preserve"> similar levels of autonomy to present-day Mars rover missions but with significantly improved networking for distributed construction tasks. Artificial Intelligence (AI) controlled swarms of bots, </w:t>
      </w:r>
      <w:r w:rsidR="000615C5" w:rsidRPr="001338D8">
        <w:t>specializing</w:t>
      </w:r>
      <w:r w:rsidRPr="001338D8">
        <w:t xml:space="preserve"> in excavation, assembly, transportation, and maintenance, would allow the LSB to be expanded and deployed modularly, with little direct human input.</w:t>
      </w:r>
    </w:p>
    <w:p w14:paraId="0000003D" w14:textId="77777777" w:rsidR="006B7F5B" w:rsidRPr="001338D8" w:rsidRDefault="00000000">
      <w:pPr>
        <w:spacing w:before="240" w:after="240"/>
      </w:pPr>
      <w:r w:rsidRPr="001338D8">
        <w:t xml:space="preserve">The theoretical potential self-replicating technologies multiply the system another several orders magnitude. Production of additional robotic units with regolith-derived materials would </w:t>
      </w:r>
      <w:r w:rsidRPr="001338D8">
        <w:lastRenderedPageBreak/>
        <w:t>decrease the need for logistical resupply and allow for long term self-sustaining expansion of the infrastructure.</w:t>
      </w:r>
    </w:p>
    <w:p w14:paraId="0000003E" w14:textId="77777777" w:rsidR="006B7F5B" w:rsidRPr="001338D8" w:rsidRDefault="00000000">
      <w:pPr>
        <w:spacing w:before="240" w:after="240"/>
        <w:rPr>
          <w:b/>
        </w:rPr>
      </w:pPr>
      <w:r w:rsidRPr="001338D8">
        <w:rPr>
          <w:b/>
        </w:rPr>
        <w:t>3.3. Photovoltaic Power Systems on the Moon</w:t>
      </w:r>
    </w:p>
    <w:p w14:paraId="0000003F" w14:textId="796CC722" w:rsidR="006B7F5B" w:rsidRPr="001338D8" w:rsidRDefault="00000000">
      <w:pPr>
        <w:spacing w:before="240" w:after="240"/>
      </w:pPr>
      <w:r w:rsidRPr="001338D8">
        <w:t xml:space="preserve">One of the most ambitious but feasible components of the LSB is to produce solar panels on the Moon from materials obtained there. </w:t>
      </w:r>
      <w:r w:rsidR="000615C5" w:rsidRPr="001338D8">
        <w:t>Also,</w:t>
      </w:r>
      <w:r w:rsidRPr="001338D8">
        <w:t xml:space="preserve"> silicon extracted and doped as well processed glass is deposited to make thin film solar cells. Chemical Vapor Deposition (CVD), Vacuum Deposition, and Screen Printing are proposed for the manufacture of thin film arrays.</w:t>
      </w:r>
    </w:p>
    <w:p w14:paraId="00000040" w14:textId="3AC0FC90" w:rsidR="006B7F5B" w:rsidRPr="001338D8" w:rsidRDefault="00000000">
      <w:pPr>
        <w:spacing w:before="240" w:after="240"/>
      </w:pPr>
      <w:r w:rsidRPr="001338D8">
        <w:t xml:space="preserve">Selenite-based (lunar glass) solar cells, even though less </w:t>
      </w:r>
      <w:r w:rsidR="000615C5" w:rsidRPr="001338D8">
        <w:t>efficient</w:t>
      </w:r>
      <w:r w:rsidRPr="001338D8">
        <w:t xml:space="preserve"> than terrestrial silicon cells have the advantages of ruggedness, near-term producibility, and thermal stability. Roll-to-roll solar cell printing from regolith-derived inputs may be feasible with developments in 3-D printing and solar ink technologies and thereby enable mass production without a clean-room environment.</w:t>
      </w:r>
    </w:p>
    <w:p w14:paraId="00000041" w14:textId="77777777" w:rsidR="006B7F5B" w:rsidRPr="001338D8" w:rsidRDefault="00000000">
      <w:pPr>
        <w:spacing w:before="240" w:after="240"/>
        <w:rPr>
          <w:b/>
        </w:rPr>
      </w:pPr>
      <w:r w:rsidRPr="001338D8">
        <w:rPr>
          <w:b/>
        </w:rPr>
        <w:t>3.4. Microwave Power Transmission</w:t>
      </w:r>
    </w:p>
    <w:p w14:paraId="00000042" w14:textId="77777777" w:rsidR="006B7F5B" w:rsidRPr="001338D8" w:rsidRDefault="00000000">
      <w:pPr>
        <w:spacing w:before="240" w:after="240"/>
      </w:pPr>
      <w:r w:rsidRPr="001338D8">
        <w:t>MPT is the key technology for relaying the interplanetary collected solar energy on the Moon to Earth. MPT has been successfully demonstrated at low powers (85% efficiency) and has mostly been implemented in the 2.45 GHz as well as 5.8 GHz ISM bands. These frequencies are a mix of atmospheric penetration, beam control, and issues regarding safety.</w:t>
      </w:r>
    </w:p>
    <w:p w14:paraId="00000043" w14:textId="77777777" w:rsidR="006B7F5B" w:rsidRPr="001338D8" w:rsidRDefault="006B7F5B">
      <w:pPr>
        <w:spacing w:before="240" w:after="240"/>
      </w:pPr>
    </w:p>
    <w:p w14:paraId="00000044" w14:textId="31F361EB" w:rsidR="006B7F5B" w:rsidRPr="001338D8" w:rsidRDefault="00000000">
      <w:pPr>
        <w:spacing w:before="240" w:after="240"/>
      </w:pPr>
      <w:r w:rsidRPr="001338D8">
        <w:t xml:space="preserve">The transmission system will be based on phased array antennas. Such electronically steerable arrays can accurately focus microwave beams </w:t>
      </w:r>
      <w:r w:rsidR="000615C5" w:rsidRPr="001338D8">
        <w:t>on</w:t>
      </w:r>
      <w:r w:rsidRPr="001338D8">
        <w:t> orbital relays or earth-based rectennas. Beam guiding systems encompass instant feedback, course-correction algorithms, and automatic kill if the beam varies beyond a programmed tolerance.</w:t>
      </w:r>
    </w:p>
    <w:p w14:paraId="00000045" w14:textId="63FBDCD4" w:rsidR="006B7F5B" w:rsidRPr="001338D8" w:rsidRDefault="00000000">
      <w:pPr>
        <w:spacing w:before="240" w:after="240"/>
      </w:pPr>
      <w:r w:rsidRPr="001338D8">
        <w:t xml:space="preserve">Safety is a critical concern. Power densities at the base station cannot exceed any of the biological safety limits (~1 mW/cm² in inhabited regions). The three effects of beam divergence, atmosphere absorption and Earth rotation need sophisticated prediction model </w:t>
      </w:r>
      <w:r w:rsidR="000615C5" w:rsidRPr="001338D8">
        <w:t>and</w:t>
      </w:r>
      <w:r w:rsidRPr="001338D8">
        <w:t xml:space="preserve"> path redundancy planning. Ground-based rectennas would necessitate extensive public property, isolated and demilitarized for public safety.</w:t>
      </w:r>
    </w:p>
    <w:p w14:paraId="00000046" w14:textId="77777777" w:rsidR="006B7F5B" w:rsidRPr="001338D8" w:rsidRDefault="00000000">
      <w:pPr>
        <w:spacing w:before="240" w:after="240"/>
        <w:rPr>
          <w:b/>
        </w:rPr>
      </w:pPr>
      <w:r w:rsidRPr="001338D8">
        <w:rPr>
          <w:b/>
        </w:rPr>
        <w:t>3.5. Orbital Relay Satellites</w:t>
      </w:r>
    </w:p>
    <w:p w14:paraId="00000047" w14:textId="77777777" w:rsidR="006B7F5B" w:rsidRPr="001338D8" w:rsidRDefault="00000000">
      <w:pPr>
        <w:spacing w:before="240" w:after="240"/>
      </w:pPr>
      <w:r w:rsidRPr="001338D8">
        <w:t>One of the most practical technical solutions to address Moon-Earth alignment matters is the establishment of geosynchronous orbital relay satellites. These relays will intercept the microwave beams from the Moon and relay them to rectennas on Earth. This two-stage system mitigates libration induced misalignments and limits beam pointing from the lunar surface.</w:t>
      </w:r>
    </w:p>
    <w:p w14:paraId="00000048" w14:textId="3574E682" w:rsidR="006B7F5B" w:rsidRDefault="00000000">
      <w:pPr>
        <w:spacing w:before="240" w:after="240"/>
      </w:pPr>
      <w:r w:rsidRPr="001338D8">
        <w:t xml:space="preserve">Relays need to have big, pointed receiving and transmitting dishes or </w:t>
      </w:r>
      <w:r w:rsidR="000615C5" w:rsidRPr="001338D8">
        <w:t>phased arrays</w:t>
      </w:r>
      <w:r w:rsidRPr="001338D8">
        <w:t xml:space="preserve">, flown and pointed by electric propulsion and equipped with redundant communications systems. Power </w:t>
      </w:r>
      <w:r w:rsidRPr="001338D8">
        <w:lastRenderedPageBreak/>
        <w:t>relay satellites could also serve as data nodes that support command-and-control of the LSB and autonomous repair coordination.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04"/>
        <w:gridCol w:w="3040"/>
        <w:gridCol w:w="1364"/>
        <w:gridCol w:w="2406"/>
      </w:tblGrid>
      <w:tr w:rsidR="008A76F0" w:rsidRPr="008A76F0" w14:paraId="2A718FDB" w14:textId="77777777" w:rsidTr="008A76F0">
        <w:trPr>
          <w:tblHeader/>
          <w:tblCellSpacing w:w="15" w:type="dxa"/>
        </w:trPr>
        <w:tc>
          <w:tcPr>
            <w:tcW w:w="0" w:type="auto"/>
            <w:vAlign w:val="center"/>
            <w:hideMark/>
          </w:tcPr>
          <w:p w14:paraId="7EC3DE95" w14:textId="77777777" w:rsidR="008A76F0" w:rsidRPr="008A76F0" w:rsidRDefault="008A76F0" w:rsidP="008A76F0">
            <w:pPr>
              <w:spacing w:before="240" w:after="240"/>
              <w:rPr>
                <w:b/>
                <w:bCs/>
                <w:lang w:val="en-US"/>
              </w:rPr>
            </w:pPr>
            <w:r w:rsidRPr="008A76F0">
              <w:rPr>
                <w:b/>
                <w:bCs/>
                <w:lang w:val="en-US"/>
              </w:rPr>
              <w:t>Subsystem</w:t>
            </w:r>
          </w:p>
        </w:tc>
        <w:tc>
          <w:tcPr>
            <w:tcW w:w="0" w:type="auto"/>
            <w:vAlign w:val="center"/>
            <w:hideMark/>
          </w:tcPr>
          <w:p w14:paraId="3B3EFC0E" w14:textId="77777777" w:rsidR="008A76F0" w:rsidRPr="008A76F0" w:rsidRDefault="008A76F0" w:rsidP="008A76F0">
            <w:pPr>
              <w:spacing w:before="240" w:after="240"/>
              <w:rPr>
                <w:b/>
                <w:bCs/>
                <w:lang w:val="en-US"/>
              </w:rPr>
            </w:pPr>
            <w:r w:rsidRPr="008A76F0">
              <w:rPr>
                <w:b/>
                <w:bCs/>
                <w:lang w:val="en-US"/>
              </w:rPr>
              <w:t>Key Technology</w:t>
            </w:r>
          </w:p>
        </w:tc>
        <w:tc>
          <w:tcPr>
            <w:tcW w:w="0" w:type="auto"/>
            <w:vAlign w:val="center"/>
            <w:hideMark/>
          </w:tcPr>
          <w:p w14:paraId="7A587DB9" w14:textId="77777777" w:rsidR="008A76F0" w:rsidRPr="008A76F0" w:rsidRDefault="008A76F0" w:rsidP="008A76F0">
            <w:pPr>
              <w:spacing w:before="240" w:after="240"/>
              <w:rPr>
                <w:b/>
                <w:bCs/>
                <w:lang w:val="en-US"/>
              </w:rPr>
            </w:pPr>
            <w:r w:rsidRPr="008A76F0">
              <w:rPr>
                <w:b/>
                <w:bCs/>
                <w:lang w:val="en-US"/>
              </w:rPr>
              <w:t>Current TRL</w:t>
            </w:r>
          </w:p>
        </w:tc>
        <w:tc>
          <w:tcPr>
            <w:tcW w:w="0" w:type="auto"/>
            <w:vAlign w:val="center"/>
            <w:hideMark/>
          </w:tcPr>
          <w:p w14:paraId="2FDC1DD7" w14:textId="77777777" w:rsidR="008A76F0" w:rsidRPr="008A76F0" w:rsidRDefault="008A76F0" w:rsidP="008A76F0">
            <w:pPr>
              <w:spacing w:before="240" w:after="240"/>
              <w:rPr>
                <w:b/>
                <w:bCs/>
                <w:lang w:val="en-US"/>
              </w:rPr>
            </w:pPr>
            <w:r w:rsidRPr="008A76F0">
              <w:rPr>
                <w:b/>
                <w:bCs/>
                <w:lang w:val="en-US"/>
              </w:rPr>
              <w:t>Major Challenge</w:t>
            </w:r>
          </w:p>
        </w:tc>
      </w:tr>
      <w:tr w:rsidR="008A76F0" w:rsidRPr="008A76F0" w14:paraId="7DAF70E3" w14:textId="77777777" w:rsidTr="008A76F0">
        <w:trPr>
          <w:tblCellSpacing w:w="15" w:type="dxa"/>
        </w:trPr>
        <w:tc>
          <w:tcPr>
            <w:tcW w:w="0" w:type="auto"/>
            <w:vAlign w:val="center"/>
            <w:hideMark/>
          </w:tcPr>
          <w:p w14:paraId="61A89AB9" w14:textId="77777777" w:rsidR="008A76F0" w:rsidRPr="008A76F0" w:rsidRDefault="008A76F0" w:rsidP="008A76F0">
            <w:pPr>
              <w:spacing w:before="240" w:after="240"/>
              <w:rPr>
                <w:lang w:val="en-US"/>
              </w:rPr>
            </w:pPr>
            <w:r w:rsidRPr="008A76F0">
              <w:rPr>
                <w:lang w:val="en-US"/>
              </w:rPr>
              <w:t>ISRU</w:t>
            </w:r>
          </w:p>
        </w:tc>
        <w:tc>
          <w:tcPr>
            <w:tcW w:w="0" w:type="auto"/>
            <w:vAlign w:val="center"/>
            <w:hideMark/>
          </w:tcPr>
          <w:p w14:paraId="1C44A711" w14:textId="77777777" w:rsidR="008A76F0" w:rsidRPr="008A76F0" w:rsidRDefault="008A76F0" w:rsidP="008A76F0">
            <w:pPr>
              <w:spacing w:before="240" w:after="240"/>
              <w:rPr>
                <w:lang w:val="en-US"/>
              </w:rPr>
            </w:pPr>
            <w:r w:rsidRPr="008A76F0">
              <w:rPr>
                <w:lang w:val="en-US"/>
              </w:rPr>
              <w:t>Sintering, Electrolysis</w:t>
            </w:r>
          </w:p>
        </w:tc>
        <w:tc>
          <w:tcPr>
            <w:tcW w:w="0" w:type="auto"/>
            <w:vAlign w:val="center"/>
            <w:hideMark/>
          </w:tcPr>
          <w:p w14:paraId="10C9F452" w14:textId="77777777" w:rsidR="008A76F0" w:rsidRPr="008A76F0" w:rsidRDefault="008A76F0" w:rsidP="008A76F0">
            <w:pPr>
              <w:spacing w:before="240" w:after="240"/>
              <w:rPr>
                <w:lang w:val="en-US"/>
              </w:rPr>
            </w:pPr>
            <w:r w:rsidRPr="008A76F0">
              <w:rPr>
                <w:lang w:val="en-US"/>
              </w:rPr>
              <w:t>5–6</w:t>
            </w:r>
          </w:p>
        </w:tc>
        <w:tc>
          <w:tcPr>
            <w:tcW w:w="0" w:type="auto"/>
            <w:vAlign w:val="center"/>
            <w:hideMark/>
          </w:tcPr>
          <w:p w14:paraId="2EAEA9A8" w14:textId="77777777" w:rsidR="008A76F0" w:rsidRPr="008A76F0" w:rsidRDefault="008A76F0" w:rsidP="008A76F0">
            <w:pPr>
              <w:spacing w:before="240" w:after="240"/>
              <w:rPr>
                <w:lang w:val="en-US"/>
              </w:rPr>
            </w:pPr>
            <w:r w:rsidRPr="008A76F0">
              <w:rPr>
                <w:lang w:val="en-US"/>
              </w:rPr>
              <w:t>Power, regolith logistics</w:t>
            </w:r>
          </w:p>
        </w:tc>
      </w:tr>
      <w:tr w:rsidR="008A76F0" w:rsidRPr="008A76F0" w14:paraId="729C6963" w14:textId="77777777" w:rsidTr="008A76F0">
        <w:trPr>
          <w:tblCellSpacing w:w="15" w:type="dxa"/>
        </w:trPr>
        <w:tc>
          <w:tcPr>
            <w:tcW w:w="0" w:type="auto"/>
            <w:vAlign w:val="center"/>
            <w:hideMark/>
          </w:tcPr>
          <w:p w14:paraId="4E8AB305" w14:textId="77777777" w:rsidR="008A76F0" w:rsidRPr="008A76F0" w:rsidRDefault="008A76F0" w:rsidP="008A76F0">
            <w:pPr>
              <w:spacing w:before="240" w:after="240"/>
              <w:rPr>
                <w:lang w:val="en-US"/>
              </w:rPr>
            </w:pPr>
            <w:r w:rsidRPr="008A76F0">
              <w:rPr>
                <w:lang w:val="en-US"/>
              </w:rPr>
              <w:t>Robotics</w:t>
            </w:r>
          </w:p>
        </w:tc>
        <w:tc>
          <w:tcPr>
            <w:tcW w:w="0" w:type="auto"/>
            <w:vAlign w:val="center"/>
            <w:hideMark/>
          </w:tcPr>
          <w:p w14:paraId="3A0298B7" w14:textId="77777777" w:rsidR="008A76F0" w:rsidRPr="008A76F0" w:rsidRDefault="008A76F0" w:rsidP="008A76F0">
            <w:pPr>
              <w:spacing w:before="240" w:after="240"/>
              <w:rPr>
                <w:lang w:val="en-US"/>
              </w:rPr>
            </w:pPr>
            <w:r w:rsidRPr="008A76F0">
              <w:rPr>
                <w:lang w:val="en-US"/>
              </w:rPr>
              <w:t>Swarm, Autonomy</w:t>
            </w:r>
          </w:p>
        </w:tc>
        <w:tc>
          <w:tcPr>
            <w:tcW w:w="0" w:type="auto"/>
            <w:vAlign w:val="center"/>
            <w:hideMark/>
          </w:tcPr>
          <w:p w14:paraId="10A96C6A" w14:textId="77777777" w:rsidR="008A76F0" w:rsidRPr="008A76F0" w:rsidRDefault="008A76F0" w:rsidP="008A76F0">
            <w:pPr>
              <w:spacing w:before="240" w:after="240"/>
              <w:rPr>
                <w:lang w:val="en-US"/>
              </w:rPr>
            </w:pPr>
            <w:r w:rsidRPr="008A76F0">
              <w:rPr>
                <w:lang w:val="en-US"/>
              </w:rPr>
              <w:t>5</w:t>
            </w:r>
          </w:p>
        </w:tc>
        <w:tc>
          <w:tcPr>
            <w:tcW w:w="0" w:type="auto"/>
            <w:vAlign w:val="center"/>
            <w:hideMark/>
          </w:tcPr>
          <w:p w14:paraId="4EB0E05F" w14:textId="77777777" w:rsidR="008A76F0" w:rsidRPr="008A76F0" w:rsidRDefault="008A76F0" w:rsidP="008A76F0">
            <w:pPr>
              <w:spacing w:before="240" w:after="240"/>
              <w:rPr>
                <w:lang w:val="en-US"/>
              </w:rPr>
            </w:pPr>
            <w:r w:rsidRPr="008A76F0">
              <w:rPr>
                <w:lang w:val="en-US"/>
              </w:rPr>
              <w:t>Dust, networking</w:t>
            </w:r>
          </w:p>
        </w:tc>
      </w:tr>
      <w:tr w:rsidR="008A76F0" w:rsidRPr="008A76F0" w14:paraId="2EC3219B" w14:textId="77777777" w:rsidTr="008A76F0">
        <w:trPr>
          <w:tblCellSpacing w:w="15" w:type="dxa"/>
        </w:trPr>
        <w:tc>
          <w:tcPr>
            <w:tcW w:w="0" w:type="auto"/>
            <w:vAlign w:val="center"/>
            <w:hideMark/>
          </w:tcPr>
          <w:p w14:paraId="7583E2BD" w14:textId="77777777" w:rsidR="008A76F0" w:rsidRPr="008A76F0" w:rsidRDefault="008A76F0" w:rsidP="008A76F0">
            <w:pPr>
              <w:spacing w:before="240" w:after="240"/>
              <w:rPr>
                <w:lang w:val="en-US"/>
              </w:rPr>
            </w:pPr>
            <w:r w:rsidRPr="008A76F0">
              <w:rPr>
                <w:lang w:val="en-US"/>
              </w:rPr>
              <w:t>Lunar Photovoltaics</w:t>
            </w:r>
          </w:p>
        </w:tc>
        <w:tc>
          <w:tcPr>
            <w:tcW w:w="0" w:type="auto"/>
            <w:vAlign w:val="center"/>
            <w:hideMark/>
          </w:tcPr>
          <w:p w14:paraId="5F9E5C87" w14:textId="77777777" w:rsidR="008A76F0" w:rsidRPr="008A76F0" w:rsidRDefault="008A76F0" w:rsidP="008A76F0">
            <w:pPr>
              <w:spacing w:before="240" w:after="240"/>
              <w:rPr>
                <w:lang w:val="en-US"/>
              </w:rPr>
            </w:pPr>
            <w:r w:rsidRPr="008A76F0">
              <w:rPr>
                <w:lang w:val="en-US"/>
              </w:rPr>
              <w:t>Regolith Thin Film</w:t>
            </w:r>
          </w:p>
        </w:tc>
        <w:tc>
          <w:tcPr>
            <w:tcW w:w="0" w:type="auto"/>
            <w:vAlign w:val="center"/>
            <w:hideMark/>
          </w:tcPr>
          <w:p w14:paraId="59508839" w14:textId="77777777" w:rsidR="008A76F0" w:rsidRPr="008A76F0" w:rsidRDefault="008A76F0" w:rsidP="008A76F0">
            <w:pPr>
              <w:spacing w:before="240" w:after="240"/>
              <w:rPr>
                <w:lang w:val="en-US"/>
              </w:rPr>
            </w:pPr>
            <w:r w:rsidRPr="008A76F0">
              <w:rPr>
                <w:lang w:val="en-US"/>
              </w:rPr>
              <w:t>4–5</w:t>
            </w:r>
          </w:p>
        </w:tc>
        <w:tc>
          <w:tcPr>
            <w:tcW w:w="0" w:type="auto"/>
            <w:vAlign w:val="center"/>
            <w:hideMark/>
          </w:tcPr>
          <w:p w14:paraId="0186E31B" w14:textId="77777777" w:rsidR="008A76F0" w:rsidRPr="008A76F0" w:rsidRDefault="008A76F0" w:rsidP="008A76F0">
            <w:pPr>
              <w:spacing w:before="240" w:after="240"/>
              <w:rPr>
                <w:lang w:val="en-US"/>
              </w:rPr>
            </w:pPr>
            <w:r w:rsidRPr="008A76F0">
              <w:rPr>
                <w:lang w:val="en-US"/>
              </w:rPr>
              <w:t>Efficiency, scaling</w:t>
            </w:r>
          </w:p>
        </w:tc>
      </w:tr>
      <w:tr w:rsidR="008A76F0" w:rsidRPr="008A76F0" w14:paraId="1E91579A" w14:textId="77777777" w:rsidTr="008A76F0">
        <w:trPr>
          <w:tblCellSpacing w:w="15" w:type="dxa"/>
        </w:trPr>
        <w:tc>
          <w:tcPr>
            <w:tcW w:w="0" w:type="auto"/>
            <w:vAlign w:val="center"/>
            <w:hideMark/>
          </w:tcPr>
          <w:p w14:paraId="0EED03E4" w14:textId="77777777" w:rsidR="008A76F0" w:rsidRPr="008A76F0" w:rsidRDefault="008A76F0" w:rsidP="008A76F0">
            <w:pPr>
              <w:spacing w:before="240" w:after="240"/>
              <w:rPr>
                <w:lang w:val="en-US"/>
              </w:rPr>
            </w:pPr>
            <w:r w:rsidRPr="008A76F0">
              <w:rPr>
                <w:lang w:val="en-US"/>
              </w:rPr>
              <w:t>MPT (Microwave Power)</w:t>
            </w:r>
          </w:p>
        </w:tc>
        <w:tc>
          <w:tcPr>
            <w:tcW w:w="0" w:type="auto"/>
            <w:vAlign w:val="center"/>
            <w:hideMark/>
          </w:tcPr>
          <w:p w14:paraId="35BAF2DF" w14:textId="77777777" w:rsidR="008A76F0" w:rsidRPr="008A76F0" w:rsidRDefault="008A76F0" w:rsidP="008A76F0">
            <w:pPr>
              <w:spacing w:before="240" w:after="240"/>
              <w:rPr>
                <w:lang w:val="en-US"/>
              </w:rPr>
            </w:pPr>
            <w:r w:rsidRPr="008A76F0">
              <w:rPr>
                <w:lang w:val="en-US"/>
              </w:rPr>
              <w:t>2.45/5.8GHz Phased Array</w:t>
            </w:r>
          </w:p>
        </w:tc>
        <w:tc>
          <w:tcPr>
            <w:tcW w:w="0" w:type="auto"/>
            <w:vAlign w:val="center"/>
            <w:hideMark/>
          </w:tcPr>
          <w:p w14:paraId="60041736" w14:textId="77777777" w:rsidR="008A76F0" w:rsidRPr="008A76F0" w:rsidRDefault="008A76F0" w:rsidP="008A76F0">
            <w:pPr>
              <w:spacing w:before="240" w:after="240"/>
              <w:rPr>
                <w:lang w:val="en-US"/>
              </w:rPr>
            </w:pPr>
            <w:r w:rsidRPr="008A76F0">
              <w:rPr>
                <w:lang w:val="en-US"/>
              </w:rPr>
              <w:t>6–7</w:t>
            </w:r>
          </w:p>
        </w:tc>
        <w:tc>
          <w:tcPr>
            <w:tcW w:w="0" w:type="auto"/>
            <w:vAlign w:val="center"/>
            <w:hideMark/>
          </w:tcPr>
          <w:p w14:paraId="17FB4BA3" w14:textId="77777777" w:rsidR="008A76F0" w:rsidRPr="008A76F0" w:rsidRDefault="008A76F0" w:rsidP="008A76F0">
            <w:pPr>
              <w:spacing w:before="240" w:after="240"/>
              <w:rPr>
                <w:lang w:val="en-US"/>
              </w:rPr>
            </w:pPr>
            <w:r w:rsidRPr="008A76F0">
              <w:rPr>
                <w:lang w:val="en-US"/>
              </w:rPr>
              <w:t>Beam control, safety</w:t>
            </w:r>
          </w:p>
        </w:tc>
      </w:tr>
      <w:tr w:rsidR="008A76F0" w:rsidRPr="008A76F0" w14:paraId="5C614DF9" w14:textId="77777777" w:rsidTr="008A76F0">
        <w:trPr>
          <w:tblCellSpacing w:w="15" w:type="dxa"/>
        </w:trPr>
        <w:tc>
          <w:tcPr>
            <w:tcW w:w="0" w:type="auto"/>
            <w:vAlign w:val="center"/>
            <w:hideMark/>
          </w:tcPr>
          <w:p w14:paraId="48DA68F1" w14:textId="77777777" w:rsidR="008A76F0" w:rsidRPr="008A76F0" w:rsidRDefault="008A76F0" w:rsidP="008A76F0">
            <w:pPr>
              <w:spacing w:before="240" w:after="240"/>
              <w:rPr>
                <w:lang w:val="en-US"/>
              </w:rPr>
            </w:pPr>
            <w:r w:rsidRPr="008A76F0">
              <w:rPr>
                <w:lang w:val="en-US"/>
              </w:rPr>
              <w:t>Relay Satellites</w:t>
            </w:r>
          </w:p>
        </w:tc>
        <w:tc>
          <w:tcPr>
            <w:tcW w:w="0" w:type="auto"/>
            <w:vAlign w:val="center"/>
            <w:hideMark/>
          </w:tcPr>
          <w:p w14:paraId="7DF8AFA7" w14:textId="77777777" w:rsidR="008A76F0" w:rsidRPr="008A76F0" w:rsidRDefault="008A76F0" w:rsidP="008A76F0">
            <w:pPr>
              <w:spacing w:before="240" w:after="240"/>
              <w:rPr>
                <w:lang w:val="en-US"/>
              </w:rPr>
            </w:pPr>
            <w:r w:rsidRPr="008A76F0">
              <w:rPr>
                <w:lang w:val="en-US"/>
              </w:rPr>
              <w:t>GEO, Precision Guidance</w:t>
            </w:r>
          </w:p>
        </w:tc>
        <w:tc>
          <w:tcPr>
            <w:tcW w:w="0" w:type="auto"/>
            <w:vAlign w:val="center"/>
            <w:hideMark/>
          </w:tcPr>
          <w:p w14:paraId="48778C29" w14:textId="77777777" w:rsidR="008A76F0" w:rsidRPr="008A76F0" w:rsidRDefault="008A76F0" w:rsidP="008A76F0">
            <w:pPr>
              <w:spacing w:before="240" w:after="240"/>
              <w:rPr>
                <w:lang w:val="en-US"/>
              </w:rPr>
            </w:pPr>
            <w:r w:rsidRPr="008A76F0">
              <w:rPr>
                <w:lang w:val="en-US"/>
              </w:rPr>
              <w:t>6</w:t>
            </w:r>
          </w:p>
        </w:tc>
        <w:tc>
          <w:tcPr>
            <w:tcW w:w="0" w:type="auto"/>
            <w:vAlign w:val="center"/>
            <w:hideMark/>
          </w:tcPr>
          <w:p w14:paraId="2D48C95A" w14:textId="77777777" w:rsidR="008A76F0" w:rsidRPr="008A76F0" w:rsidRDefault="008A76F0" w:rsidP="008A76F0">
            <w:pPr>
              <w:spacing w:before="240" w:after="240"/>
              <w:rPr>
                <w:lang w:val="en-US"/>
              </w:rPr>
            </w:pPr>
            <w:r w:rsidRPr="008A76F0">
              <w:rPr>
                <w:lang w:val="en-US"/>
              </w:rPr>
              <w:t>Propulsion, debris risk</w:t>
            </w:r>
          </w:p>
        </w:tc>
      </w:tr>
      <w:tr w:rsidR="008A76F0" w:rsidRPr="008A76F0" w14:paraId="328700C6" w14:textId="77777777" w:rsidTr="008A76F0">
        <w:trPr>
          <w:tblCellSpacing w:w="15" w:type="dxa"/>
        </w:trPr>
        <w:tc>
          <w:tcPr>
            <w:tcW w:w="0" w:type="auto"/>
            <w:vAlign w:val="center"/>
            <w:hideMark/>
          </w:tcPr>
          <w:p w14:paraId="1BF91FDA" w14:textId="77777777" w:rsidR="008A76F0" w:rsidRPr="008A76F0" w:rsidRDefault="008A76F0" w:rsidP="008A76F0">
            <w:pPr>
              <w:spacing w:before="240" w:after="240"/>
              <w:rPr>
                <w:lang w:val="en-US"/>
              </w:rPr>
            </w:pPr>
            <w:r w:rsidRPr="008A76F0">
              <w:rPr>
                <w:lang w:val="en-US"/>
              </w:rPr>
              <w:t>Earth Rectennas</w:t>
            </w:r>
          </w:p>
        </w:tc>
        <w:tc>
          <w:tcPr>
            <w:tcW w:w="0" w:type="auto"/>
            <w:vAlign w:val="center"/>
            <w:hideMark/>
          </w:tcPr>
          <w:p w14:paraId="3F47B23B" w14:textId="77777777" w:rsidR="008A76F0" w:rsidRPr="008A76F0" w:rsidRDefault="008A76F0" w:rsidP="008A76F0">
            <w:pPr>
              <w:spacing w:before="240" w:after="240"/>
              <w:rPr>
                <w:lang w:val="en-US"/>
              </w:rPr>
            </w:pPr>
            <w:r w:rsidRPr="008A76F0">
              <w:rPr>
                <w:lang w:val="en-US"/>
              </w:rPr>
              <w:t>Large Area, Diode Conversion</w:t>
            </w:r>
          </w:p>
        </w:tc>
        <w:tc>
          <w:tcPr>
            <w:tcW w:w="0" w:type="auto"/>
            <w:vAlign w:val="center"/>
            <w:hideMark/>
          </w:tcPr>
          <w:p w14:paraId="3C8D5893" w14:textId="77777777" w:rsidR="008A76F0" w:rsidRPr="008A76F0" w:rsidRDefault="008A76F0" w:rsidP="008A76F0">
            <w:pPr>
              <w:spacing w:before="240" w:after="240"/>
              <w:rPr>
                <w:lang w:val="en-US"/>
              </w:rPr>
            </w:pPr>
            <w:r w:rsidRPr="008A76F0">
              <w:rPr>
                <w:lang w:val="en-US"/>
              </w:rPr>
              <w:t>8</w:t>
            </w:r>
          </w:p>
        </w:tc>
        <w:tc>
          <w:tcPr>
            <w:tcW w:w="0" w:type="auto"/>
            <w:vAlign w:val="center"/>
            <w:hideMark/>
          </w:tcPr>
          <w:p w14:paraId="158BE2C3" w14:textId="77777777" w:rsidR="008A76F0" w:rsidRPr="008A76F0" w:rsidRDefault="008A76F0" w:rsidP="008A76F0">
            <w:pPr>
              <w:spacing w:before="240" w:after="240"/>
              <w:rPr>
                <w:lang w:val="en-US"/>
              </w:rPr>
            </w:pPr>
            <w:r w:rsidRPr="008A76F0">
              <w:rPr>
                <w:lang w:val="en-US"/>
              </w:rPr>
              <w:t>Land, regulatory</w:t>
            </w:r>
          </w:p>
        </w:tc>
      </w:tr>
    </w:tbl>
    <w:p w14:paraId="15093FFC" w14:textId="77777777" w:rsidR="008A76F0" w:rsidRPr="008A76F0" w:rsidRDefault="008A76F0" w:rsidP="008A76F0">
      <w:pPr>
        <w:spacing w:before="240" w:after="240"/>
        <w:rPr>
          <w:sz w:val="16"/>
          <w:szCs w:val="16"/>
          <w:lang w:val="en-US"/>
        </w:rPr>
      </w:pPr>
      <w:r w:rsidRPr="008A76F0">
        <w:rPr>
          <w:sz w:val="16"/>
          <w:szCs w:val="16"/>
          <w:lang w:val="en-US"/>
        </w:rPr>
        <w:t>Table 1. Technology readiness levels and challenges for core Lunar Solar Belt subsystems.</w:t>
      </w:r>
    </w:p>
    <w:p w14:paraId="1FB552DC" w14:textId="77777777" w:rsidR="008A76F0" w:rsidRPr="001338D8" w:rsidRDefault="008A76F0">
      <w:pPr>
        <w:spacing w:before="240" w:after="240"/>
      </w:pPr>
    </w:p>
    <w:p w14:paraId="00000049" w14:textId="77777777" w:rsidR="006B7F5B" w:rsidRPr="001338D8" w:rsidRDefault="00000000">
      <w:pPr>
        <w:spacing w:before="240" w:after="240"/>
        <w:rPr>
          <w:b/>
        </w:rPr>
      </w:pPr>
      <w:r w:rsidRPr="001338D8">
        <w:rPr>
          <w:b/>
        </w:rPr>
        <w:t>Technology Readiness Overview</w:t>
      </w:r>
    </w:p>
    <w:p w14:paraId="0000004A" w14:textId="77777777" w:rsidR="006B7F5B" w:rsidRDefault="00000000">
      <w:pPr>
        <w:spacing w:before="240" w:after="240"/>
      </w:pPr>
      <w:r w:rsidRPr="001338D8">
        <w:t>Although some of these technologies are at Technology Readiness Level (TRL) 4–6 (prototype testing and subsystem validation), system-packaging effects of multiple subsystems in a space environment demand end-to-end system analysis and lunar-based testing. The Artemis and Gateway missions provide possible platforms for early demonstration missions.</w:t>
      </w:r>
    </w:p>
    <w:p w14:paraId="57882CB7" w14:textId="43576942" w:rsidR="00E426B2" w:rsidRPr="00E426B2" w:rsidRDefault="00E426B2" w:rsidP="00E426B2">
      <w:pPr>
        <w:spacing w:before="240" w:after="240"/>
        <w:rPr>
          <w:lang w:val="en-US"/>
        </w:rPr>
      </w:pPr>
      <w:r w:rsidRPr="00E426B2">
        <w:rPr>
          <w:noProof/>
          <w:lang w:val="en-US"/>
        </w:rPr>
        <w:lastRenderedPageBreak/>
        <w:drawing>
          <wp:inline distT="0" distB="0" distL="0" distR="0" wp14:anchorId="73F6A0EA" wp14:editId="13A709D3">
            <wp:extent cx="5943600" cy="2971800"/>
            <wp:effectExtent l="0" t="0" r="0" b="0"/>
            <wp:docPr id="2109125020" name="Picture 6" descr="A graph of a graph showing the amount of ti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125020" name="Picture 6" descr="A graph of a graph showing the amount of time&#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2971800"/>
                    </a:xfrm>
                    <a:prstGeom prst="rect">
                      <a:avLst/>
                    </a:prstGeom>
                    <a:noFill/>
                    <a:ln>
                      <a:noFill/>
                    </a:ln>
                  </pic:spPr>
                </pic:pic>
              </a:graphicData>
            </a:graphic>
          </wp:inline>
        </w:drawing>
      </w:r>
    </w:p>
    <w:p w14:paraId="19866C69" w14:textId="77777777" w:rsidR="00E426B2" w:rsidRPr="001338D8" w:rsidRDefault="00E426B2">
      <w:pPr>
        <w:spacing w:before="240" w:after="240"/>
      </w:pPr>
    </w:p>
    <w:p w14:paraId="0000004B" w14:textId="77777777" w:rsidR="006B7F5B" w:rsidRPr="001338D8" w:rsidRDefault="006B7F5B">
      <w:pPr>
        <w:spacing w:before="240" w:after="240"/>
      </w:pPr>
    </w:p>
    <w:p w14:paraId="0000004C" w14:textId="77777777" w:rsidR="006B7F5B" w:rsidRPr="001338D8" w:rsidRDefault="00000000">
      <w:pPr>
        <w:rPr>
          <w:b/>
        </w:rPr>
      </w:pPr>
      <w:r w:rsidRPr="001338D8">
        <w:rPr>
          <w:b/>
        </w:rPr>
        <w:t>4. System Architecture</w:t>
      </w:r>
    </w:p>
    <w:p w14:paraId="0000004D" w14:textId="77777777" w:rsidR="006B7F5B" w:rsidRPr="001338D8" w:rsidRDefault="006B7F5B">
      <w:pPr>
        <w:rPr>
          <w:b/>
        </w:rPr>
      </w:pPr>
    </w:p>
    <w:p w14:paraId="0000004E" w14:textId="66AF5CDB" w:rsidR="006B7F5B" w:rsidRPr="001338D8" w:rsidRDefault="00000000">
      <w:r w:rsidRPr="001338D8">
        <w:t>The system architecture of the LSB takes into account these requirements such as modularity and scaling, robustness in harsh environments, and interfacing of lunar, orbital and terrestrial segments. At the fundamental level, the LSB is a networked system to harvest solar radiation, generate electrical power and transmit it wirelessly to Earth efficiently and reliably. The system has </w:t>
      </w:r>
      <w:r w:rsidR="000615C5" w:rsidRPr="001338D8">
        <w:t>four</w:t>
      </w:r>
      <w:r w:rsidRPr="001338D8">
        <w:t xml:space="preserve"> layers of interlocking and cooperating: lunar array energy collectors, autonomous construction network, orbital relay satellite ring and the earth rectenna farms. The architectural designs and deployment mechanisms of each sub-system are described in this section.</w:t>
      </w:r>
    </w:p>
    <w:p w14:paraId="0000004F" w14:textId="77777777" w:rsidR="006B7F5B" w:rsidRPr="001338D8" w:rsidRDefault="006B7F5B"/>
    <w:p w14:paraId="00000050" w14:textId="77777777" w:rsidR="006B7F5B" w:rsidRPr="001338D8" w:rsidRDefault="00000000">
      <w:pPr>
        <w:rPr>
          <w:b/>
        </w:rPr>
      </w:pPr>
      <w:r w:rsidRPr="001338D8">
        <w:rPr>
          <w:b/>
        </w:rPr>
        <w:t>4.1. Lunar Solar Belt Layout</w:t>
      </w:r>
    </w:p>
    <w:p w14:paraId="00000051" w14:textId="225EFC39" w:rsidR="006B7F5B" w:rsidRPr="001338D8" w:rsidRDefault="00000000">
      <w:r w:rsidRPr="001338D8">
        <w:t xml:space="preserve">The core of the LSB is a continuous solar panel installed along the Moon equator. The equator is preferred for its long solar days – around 14 days of sunlight with short darkness. </w:t>
      </w:r>
      <w:r w:rsidR="000615C5" w:rsidRPr="001338D8">
        <w:t>Such</w:t>
      </w:r>
      <w:r w:rsidRPr="001338D8">
        <w:t xml:space="preserve"> positioning helps reduce any requirement for on-board energy storing and eases tracking and alignment for energy beaming.</w:t>
      </w:r>
    </w:p>
    <w:p w14:paraId="00000052" w14:textId="77777777" w:rsidR="006B7F5B" w:rsidRPr="001338D8" w:rsidRDefault="00000000">
      <w:r w:rsidRPr="001338D8">
        <w:t>The array is made from modular solar panels based on regolith processed into materials on-site. Thin-film photovoltaic layers are combined with sintered regolith glass substrates, which are attached to a lightweight aluminum-alloy frame. Its modular approach enables localized expansion and maintenance. Panels are mounted on immobile regolith stocks to sidestep complexities of tracking mounts in lunar gravity. Power is sent to MWGU (microwave generation unit), these are units that include the phased array antenna to project the beams.</w:t>
      </w:r>
    </w:p>
    <w:p w14:paraId="00000053" w14:textId="77777777" w:rsidR="006B7F5B" w:rsidRPr="001338D8" w:rsidRDefault="00000000">
      <w:r w:rsidRPr="001338D8">
        <w:t xml:space="preserve">The belt is divided into operational zones, each commanded by a local AI-operated command node. These nodes handle local power routing, robotic logistics, and diagnostics. Global level </w:t>
      </w:r>
      <w:r w:rsidRPr="001338D8">
        <w:lastRenderedPageBreak/>
        <w:t>coordination is accomplished, in an intranet-type manner, by a lunar intranet which facilitates decentralized decision-making.</w:t>
      </w:r>
    </w:p>
    <w:p w14:paraId="00000054" w14:textId="77777777" w:rsidR="006B7F5B" w:rsidRPr="001338D8" w:rsidRDefault="006B7F5B"/>
    <w:p w14:paraId="00000055" w14:textId="77777777" w:rsidR="006B7F5B" w:rsidRPr="001338D8" w:rsidRDefault="00000000">
      <w:pPr>
        <w:rPr>
          <w:b/>
        </w:rPr>
      </w:pPr>
      <w:r w:rsidRPr="001338D8">
        <w:rPr>
          <w:b/>
        </w:rPr>
        <w:t>4.2. DECENTRALIZED CONSTRUCTION NETWORK</w:t>
      </w:r>
    </w:p>
    <w:p w14:paraId="00000056" w14:textId="77777777" w:rsidR="006B7F5B" w:rsidRPr="001338D8" w:rsidRDefault="00000000">
      <w:r w:rsidRPr="001338D8">
        <w:t>To build and maintain a structure of this scale, LSB is operated with a fleet of autonomous, semi-intelligent robots in a decentralised swarm architecture. Each robot has a function — miners that collect regolith, processors who refine regolith into useful materials, assemblers who fabricate panel frames and lay wiring, inspectors who keep an eye on the integrity of the system.</w:t>
      </w:r>
    </w:p>
    <w:p w14:paraId="00000057" w14:textId="77777777" w:rsidR="006B7F5B" w:rsidRPr="001338D8" w:rsidRDefault="00000000">
      <w:r w:rsidRPr="001338D8">
        <w:t>Robots carry out work in collaborative “build-zones” which are monitored by supervisory units that can load balance, manage faults, and redistribute load in real-time. The robots exchange information on a local mesh network, using high-bandwidth uplinks to relay data, orbitally, for Earth-based monitoring and analysis.</w:t>
      </w:r>
    </w:p>
    <w:p w14:paraId="00000058" w14:textId="3AE4928B" w:rsidR="006B7F5B" w:rsidRPr="001338D8" w:rsidRDefault="00000000">
      <w:r w:rsidRPr="001338D8">
        <w:t xml:space="preserve">Construction units are powered by early solar cells and small fuel cells with some power </w:t>
      </w:r>
      <w:r w:rsidR="000615C5" w:rsidRPr="001338D8">
        <w:t>beaming</w:t>
      </w:r>
      <w:r w:rsidRPr="001338D8">
        <w:t xml:space="preserve"> from completed array segments. In more developed stages, some construction units may be able to replicate themselves from local material to some extent, resulting in an exponential increase in the rate of deployment.</w:t>
      </w:r>
    </w:p>
    <w:p w14:paraId="00000059" w14:textId="77777777" w:rsidR="006B7F5B" w:rsidRPr="001338D8" w:rsidRDefault="006B7F5B"/>
    <w:p w14:paraId="0000005A" w14:textId="77777777" w:rsidR="006B7F5B" w:rsidRPr="001338D8" w:rsidRDefault="00000000">
      <w:pPr>
        <w:rPr>
          <w:b/>
        </w:rPr>
      </w:pPr>
      <w:r w:rsidRPr="001338D8">
        <w:rPr>
          <w:b/>
        </w:rPr>
        <w:t>4.3. Generation and Propagation of Microwaves</w:t>
      </w:r>
    </w:p>
    <w:p w14:paraId="0000005B" w14:textId="77777777" w:rsidR="006B7F5B" w:rsidRPr="001338D8" w:rsidRDefault="00000000">
      <w:r w:rsidRPr="001338D8">
        <w:t>There are several MGUs on each active section of the belt that turn electricity from solar panels into beamed microwaves. These are systems with solid state power amplifiers and phased array antennas inherently directional while are mechanically part free. A microwave frequency band is chosen for low absorption in the atmosphere and the ease of operation at ground-based end rectennas: commonly the industrial, scientific and medical (ISM) band at 2.45 GHz or 5.8 GHz.</w:t>
      </w:r>
    </w:p>
    <w:p w14:paraId="0000005C" w14:textId="77777777" w:rsidR="006B7F5B" w:rsidRPr="001338D8" w:rsidRDefault="00000000">
      <w:r w:rsidRPr="001338D8">
        <w:t>Beams are aimed at geostationary relay satellites, not Earth, to prevent complications with lunar libration as well as rotating terrestrial receivers. The MGUs have various safety redundancies: beam cut-off triggers, tracking algorithms and deflection sensors to avoid run-off.</w:t>
      </w:r>
    </w:p>
    <w:p w14:paraId="0000005D" w14:textId="77777777" w:rsidR="006B7F5B" w:rsidRPr="001338D8" w:rsidRDefault="006B7F5B"/>
    <w:p w14:paraId="0000005E" w14:textId="77777777" w:rsidR="006B7F5B" w:rsidRPr="001338D8" w:rsidRDefault="00000000">
      <w:pPr>
        <w:rPr>
          <w:b/>
        </w:rPr>
      </w:pPr>
      <w:r w:rsidRPr="001338D8">
        <w:rPr>
          <w:b/>
        </w:rPr>
        <w:t>4.4. Orbital Relay Satellites</w:t>
      </w:r>
    </w:p>
    <w:p w14:paraId="0000005F" w14:textId="77777777" w:rsidR="006B7F5B" w:rsidRPr="001338D8" w:rsidRDefault="00000000">
      <w:r w:rsidRPr="001338D8">
        <w:t>Relay satellites are positioned in geostationary orbit to serve as a go-between for the Moon and Earth. Every relay satellite carries a big parabolic or phased array antenna system receiving from and transmitting toward rectenna stations located on the earth. These satellites monitor the Moon in position, track constantly, and store so-called power beams to be able to transmit during short times of handover or beam switching.</w:t>
      </w:r>
    </w:p>
    <w:p w14:paraId="00000060" w14:textId="77777777" w:rsidR="006B7F5B" w:rsidRPr="001338D8" w:rsidRDefault="00000000">
      <w:r w:rsidRPr="001338D8">
        <w:t>Relay satellites are self-possessed and perform independent work to maintain orbit, align and check diagnostics as they use onboard artificial intelligence (AI) and propulsion systems. They are also communication centers for relaying information from earth station commands to the LSB, and for providing telemetry for control on lunar operations.</w:t>
      </w:r>
    </w:p>
    <w:p w14:paraId="00000061" w14:textId="77777777" w:rsidR="006B7F5B" w:rsidRPr="001338D8" w:rsidRDefault="00000000">
      <w:r w:rsidRPr="001338D8">
        <w:t>Each satellite comes with on-board solar panels for self-powering and is space weather, micrometeoroids and orbital debris hardened. There is also redundancy in the relay network with overlapping coverage and failover mechanisms.</w:t>
      </w:r>
    </w:p>
    <w:p w14:paraId="00000062" w14:textId="77777777" w:rsidR="006B7F5B" w:rsidRPr="001338D8" w:rsidRDefault="006B7F5B"/>
    <w:p w14:paraId="00000063" w14:textId="77777777" w:rsidR="006B7F5B" w:rsidRPr="001338D8" w:rsidRDefault="00000000">
      <w:pPr>
        <w:rPr>
          <w:b/>
        </w:rPr>
      </w:pPr>
      <w:r w:rsidRPr="001338D8">
        <w:rPr>
          <w:b/>
        </w:rPr>
        <w:t>4.5. Earth-Based Rectenna Farms</w:t>
      </w:r>
    </w:p>
    <w:p w14:paraId="00000064" w14:textId="62E03C1A" w:rsidR="006B7F5B" w:rsidRPr="001338D8" w:rsidRDefault="00000000">
      <w:r w:rsidRPr="001338D8">
        <w:lastRenderedPageBreak/>
        <w:t xml:space="preserve">Rectennas are ground-based installations that convert the incoming microwave energy to direct current (DC) electricity. A farm is made up </w:t>
      </w:r>
      <w:r w:rsidR="000615C5" w:rsidRPr="001338D8">
        <w:t>of</w:t>
      </w:r>
      <w:r w:rsidRPr="001338D8">
        <w:t xml:space="preserve"> thousands of dipoles placed at a certain height from the ground and connected to diode rectifiers. This DC electricity is then converted, inverted, and directed into local or national power grids.</w:t>
      </w:r>
    </w:p>
    <w:p w14:paraId="00000065" w14:textId="77777777" w:rsidR="006B7F5B" w:rsidRPr="001338D8" w:rsidRDefault="00000000">
      <w:r w:rsidRPr="001338D8">
        <w:t>Selection of the sites of rectenna farms tends to be an uninhabited region or an offshore so that public exposure may be low. Safety is handled by careful control of beam divergence and power densities, which are maintained to conform to international standards, supplemented by beam-sensing safety shutdown systems.</w:t>
      </w:r>
    </w:p>
    <w:p w14:paraId="00000066" w14:textId="5F04BFA3" w:rsidR="006B7F5B" w:rsidRDefault="00000000">
      <w:r w:rsidRPr="001338D8">
        <w:t xml:space="preserve">Each farm plugs into the local </w:t>
      </w:r>
      <w:r w:rsidR="000615C5" w:rsidRPr="001338D8">
        <w:t>grid and</w:t>
      </w:r>
      <w:r w:rsidRPr="001338D8">
        <w:t xml:space="preserve"> estimates and trades its output into carbon credit or renewable energy markets. Buffering and smart grid interfaces ensure that uncertain supply (in eclipse or while performing maintenance) is compensated for by hybrid sources or stored inventory.</w:t>
      </w:r>
    </w:p>
    <w:p w14:paraId="24500087" w14:textId="3B90EE27" w:rsidR="00E426B2" w:rsidRPr="00E426B2" w:rsidRDefault="00E426B2" w:rsidP="00E426B2">
      <w:pPr>
        <w:rPr>
          <w:lang w:val="en-US"/>
        </w:rPr>
      </w:pPr>
      <w:r w:rsidRPr="00E426B2">
        <w:rPr>
          <w:noProof/>
          <w:lang w:val="en-US"/>
        </w:rPr>
        <w:drawing>
          <wp:inline distT="0" distB="0" distL="0" distR="0" wp14:anchorId="4787157C" wp14:editId="637ED465">
            <wp:extent cx="5943600" cy="2005965"/>
            <wp:effectExtent l="0" t="0" r="0" b="0"/>
            <wp:docPr id="2023983109" name="Picture 10" descr="A diagram of a solar bel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983109" name="Picture 10" descr="A diagram of a solar belt&#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005965"/>
                    </a:xfrm>
                    <a:prstGeom prst="rect">
                      <a:avLst/>
                    </a:prstGeom>
                    <a:noFill/>
                    <a:ln>
                      <a:noFill/>
                    </a:ln>
                  </pic:spPr>
                </pic:pic>
              </a:graphicData>
            </a:graphic>
          </wp:inline>
        </w:drawing>
      </w:r>
    </w:p>
    <w:p w14:paraId="2E0762A6" w14:textId="77777777" w:rsidR="00E426B2" w:rsidRPr="001338D8" w:rsidRDefault="00E426B2"/>
    <w:p w14:paraId="00000067" w14:textId="77777777" w:rsidR="006B7F5B" w:rsidRPr="001338D8" w:rsidRDefault="00000000">
      <w:pPr>
        <w:rPr>
          <w:b/>
        </w:rPr>
      </w:pPr>
      <w:r w:rsidRPr="001338D8">
        <w:rPr>
          <w:b/>
        </w:rPr>
        <w:br/>
      </w:r>
    </w:p>
    <w:p w14:paraId="00000068" w14:textId="77777777" w:rsidR="006B7F5B" w:rsidRPr="001338D8" w:rsidRDefault="00000000">
      <w:pPr>
        <w:rPr>
          <w:b/>
        </w:rPr>
      </w:pPr>
      <w:r w:rsidRPr="001338D8">
        <w:rPr>
          <w:b/>
        </w:rPr>
        <w:t>5. Economic Viability</w:t>
      </w:r>
    </w:p>
    <w:p w14:paraId="00000069" w14:textId="77777777" w:rsidR="006B7F5B" w:rsidRPr="001338D8" w:rsidRDefault="006B7F5B">
      <w:pPr>
        <w:rPr>
          <w:b/>
        </w:rPr>
      </w:pPr>
    </w:p>
    <w:p w14:paraId="0000006A" w14:textId="77777777" w:rsidR="006B7F5B" w:rsidRPr="001338D8" w:rsidRDefault="00000000">
      <w:r w:rsidRPr="001338D8">
        <w:t>Lunar Solar Belt (LSB) is a massive capital investment that pays immense rich dividends through time, long-term as seen through the eyes of not just traditional economic factors, but also broader environmental and geopolitical paybacks. This section presents the economic justification of the LSB through an analysis of its cost structure, revenue models, EROI and financial competitiveness in the worldwide energy market.</w:t>
      </w:r>
    </w:p>
    <w:p w14:paraId="0000006B" w14:textId="77777777" w:rsidR="006B7F5B" w:rsidRPr="001338D8" w:rsidRDefault="006B7F5B"/>
    <w:p w14:paraId="0000006C" w14:textId="77777777" w:rsidR="006B7F5B" w:rsidRPr="001338D8" w:rsidRDefault="006B7F5B"/>
    <w:p w14:paraId="0000006D" w14:textId="20E5BE76" w:rsidR="006B7F5B" w:rsidRDefault="00000000">
      <w:pPr>
        <w:rPr>
          <w:b/>
        </w:rPr>
      </w:pPr>
      <w:r w:rsidRPr="001338D8">
        <w:rPr>
          <w:b/>
        </w:rPr>
        <w:t xml:space="preserve">5.1. Cost and Capital </w:t>
      </w:r>
      <w:r w:rsidR="000615C5" w:rsidRPr="001338D8">
        <w:rPr>
          <w:b/>
        </w:rPr>
        <w:t>Expenditure</w:t>
      </w:r>
    </w:p>
    <w:p w14:paraId="6595C98D" w14:textId="14656FFD" w:rsidR="00E426B2" w:rsidRPr="00E426B2" w:rsidRDefault="00E426B2" w:rsidP="00E426B2">
      <w:pPr>
        <w:rPr>
          <w:b/>
          <w:lang w:val="en-US"/>
        </w:rPr>
      </w:pPr>
      <w:r w:rsidRPr="00E426B2">
        <w:rPr>
          <w:b/>
          <w:noProof/>
          <w:lang w:val="en-US"/>
        </w:rPr>
        <w:lastRenderedPageBreak/>
        <w:drawing>
          <wp:inline distT="0" distB="0" distL="0" distR="0" wp14:anchorId="127675E7" wp14:editId="7C5BA967">
            <wp:extent cx="4884420" cy="2791320"/>
            <wp:effectExtent l="0" t="0" r="0" b="9525"/>
            <wp:docPr id="487000748" name="Picture 2" descr="A graph with a line and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000748" name="Picture 2" descr="A graph with a line and a line graph&#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10421" cy="2806179"/>
                    </a:xfrm>
                    <a:prstGeom prst="rect">
                      <a:avLst/>
                    </a:prstGeom>
                    <a:noFill/>
                    <a:ln>
                      <a:noFill/>
                    </a:ln>
                  </pic:spPr>
                </pic:pic>
              </a:graphicData>
            </a:graphic>
          </wp:inline>
        </w:drawing>
      </w:r>
    </w:p>
    <w:p w14:paraId="7F507835" w14:textId="77777777" w:rsidR="00E426B2" w:rsidRPr="001338D8" w:rsidRDefault="00E426B2">
      <w:pPr>
        <w:rPr>
          <w:b/>
        </w:rPr>
      </w:pPr>
    </w:p>
    <w:p w14:paraId="0000006E" w14:textId="77777777" w:rsidR="006B7F5B" w:rsidRPr="001338D8" w:rsidRDefault="006B7F5B">
      <w:pPr>
        <w:rPr>
          <w:b/>
        </w:rPr>
      </w:pPr>
    </w:p>
    <w:p w14:paraId="0000006F" w14:textId="77777777" w:rsidR="006B7F5B" w:rsidRPr="001338D8" w:rsidRDefault="00000000">
      <w:r w:rsidRPr="001338D8">
        <w:t>The first-order price breakdown of an LSB is composed of:</w:t>
      </w:r>
    </w:p>
    <w:p w14:paraId="00000070" w14:textId="77777777" w:rsidR="006B7F5B" w:rsidRPr="001338D8" w:rsidRDefault="006B7F5B"/>
    <w:p w14:paraId="00000071" w14:textId="77777777" w:rsidR="006B7F5B" w:rsidRPr="001338D8" w:rsidRDefault="00000000">
      <w:r w:rsidRPr="001338D8">
        <w:rPr>
          <w:u w:val="single"/>
        </w:rPr>
        <w:t>Launch and Transportation</w:t>
      </w:r>
      <w:r w:rsidRPr="001338D8">
        <w:t>: This has been the historically most prohibitive component of space projects, but launch prices are plummeting with the advent of heavy lift, re-usable vehicles. SpaceX’s Starship, Blue Origin’s New Glenn, and future vehicles from China and India have set their sights on dropping the cost of launch even lower — under $100 per kilogram. This transition fosters the inexpensive delivery of modular robotics, ISRU prototypes, and initial photovoltaic substrates at reasonable prices.</w:t>
      </w:r>
    </w:p>
    <w:p w14:paraId="00000072" w14:textId="0832F662" w:rsidR="006B7F5B" w:rsidRPr="001338D8" w:rsidRDefault="00000000">
      <w:r w:rsidRPr="001338D8">
        <w:rPr>
          <w:u w:val="single"/>
        </w:rPr>
        <w:t>ISRU &amp; Manufacturing Infrastructure:</w:t>
      </w:r>
      <w:r w:rsidRPr="001338D8">
        <w:t xml:space="preserve"> Establishing in-situ processing facilities for regolith and thin film solar cell production is a capital-intensive proposition. These are for the energy consuming facilities for regolith sintering, silicon refining, and for the sputter coating. But once </w:t>
      </w:r>
      <w:r w:rsidR="000615C5" w:rsidRPr="001338D8">
        <w:t>they are</w:t>
      </w:r>
      <w:r w:rsidRPr="001338D8">
        <w:t> up and running, they can all but eliminate the need to send supplies from our home planet.</w:t>
      </w:r>
    </w:p>
    <w:p w14:paraId="00000073" w14:textId="77777777" w:rsidR="006B7F5B" w:rsidRPr="001338D8" w:rsidRDefault="00000000">
      <w:r w:rsidRPr="001338D8">
        <w:rPr>
          <w:u w:val="single"/>
        </w:rPr>
        <w:t>Unmanned Building Force:</w:t>
      </w:r>
      <w:r w:rsidRPr="001338D8">
        <w:t xml:space="preserve"> The robots needed for groundwork, assembly, and maintenance have a mid-level capital investment. Modularity and possible self-replication would provide a tremendous boost, though. Machines fabricated of moon materials radically reduce the cost of ongoing construction, causing a process of exponential growth for an investment of infinitesimal recurring cost.</w:t>
      </w:r>
    </w:p>
    <w:p w14:paraId="00000074" w14:textId="77777777" w:rsidR="006B7F5B" w:rsidRPr="001338D8" w:rsidRDefault="00000000">
      <w:r w:rsidRPr="001338D8">
        <w:rPr>
          <w:u w:val="single"/>
        </w:rPr>
        <w:t>Microwave Generation and Transmission Systems:</w:t>
      </w:r>
      <w:r w:rsidRPr="001338D8">
        <w:t xml:space="preserve"> The high efficiency solid state power amplifiers and phased array antennas for power transmission are, however, expensive but modular allowing progressive deployment. Once the system is built, maintenance is low because there is no atmospheric corrosion and no mechanical wear.</w:t>
      </w:r>
    </w:p>
    <w:p w14:paraId="00000075" w14:textId="77777777" w:rsidR="006B7F5B" w:rsidRPr="001338D8" w:rsidRDefault="006B7F5B"/>
    <w:p w14:paraId="00000076" w14:textId="77777777" w:rsidR="006B7F5B" w:rsidRPr="001338D8" w:rsidRDefault="00000000">
      <w:r w:rsidRPr="001338D8">
        <w:rPr>
          <w:u w:val="single"/>
        </w:rPr>
        <w:t>Orbital Relay Satellites:</w:t>
      </w:r>
      <w:r w:rsidRPr="001338D8">
        <w:t xml:space="preserve"> Putting a ring of geostationary satellites, where we can bounce energy to and from the surface, is a capital investment. But such satellites are key to the realization of “24/7” energy delivery, and they may be cost-shared by telecommunications or defense users.</w:t>
      </w:r>
    </w:p>
    <w:p w14:paraId="00000077" w14:textId="2E65A677" w:rsidR="006B7F5B" w:rsidRPr="001338D8" w:rsidRDefault="00000000">
      <w:r w:rsidRPr="001338D8">
        <w:lastRenderedPageBreak/>
        <w:t xml:space="preserve">Earth Rectennas -- Rectenna arrays, despite being immense in size, are relatively cheap to build. Mostly composed of lightweight mesh antennas and power electronics, they need no more than a small </w:t>
      </w:r>
      <w:r w:rsidR="000615C5" w:rsidRPr="001338D8">
        <w:t>number</w:t>
      </w:r>
      <w:r w:rsidRPr="001338D8">
        <w:t xml:space="preserve"> of structural materials and land grading.</w:t>
      </w:r>
    </w:p>
    <w:p w14:paraId="00000078" w14:textId="77777777" w:rsidR="006B7F5B" w:rsidRPr="001338D8" w:rsidRDefault="006B7F5B"/>
    <w:p w14:paraId="00000079" w14:textId="77777777" w:rsidR="006B7F5B" w:rsidRPr="001338D8" w:rsidRDefault="006B7F5B"/>
    <w:p w14:paraId="0000007A" w14:textId="77777777" w:rsidR="006B7F5B" w:rsidRPr="001338D8" w:rsidRDefault="00000000">
      <w:pPr>
        <w:rPr>
          <w:b/>
        </w:rPr>
      </w:pPr>
      <w:r w:rsidRPr="001338D8">
        <w:rPr>
          <w:b/>
        </w:rPr>
        <w:t>5.2. Revenue</w:t>
      </w:r>
    </w:p>
    <w:p w14:paraId="0000007B" w14:textId="77777777" w:rsidR="006B7F5B" w:rsidRPr="001338D8" w:rsidRDefault="006B7F5B">
      <w:pPr>
        <w:rPr>
          <w:b/>
        </w:rPr>
      </w:pPr>
    </w:p>
    <w:p w14:paraId="0000007C" w14:textId="55393C78" w:rsidR="006B7F5B" w:rsidRPr="001338D8" w:rsidRDefault="00000000">
      <w:r w:rsidRPr="001338D8">
        <w:t xml:space="preserve"> The revenue model associated with the present technique lies solely </w:t>
      </w:r>
      <w:r w:rsidR="000615C5" w:rsidRPr="001338D8">
        <w:t>in</w:t>
      </w:r>
      <w:r w:rsidRPr="001338D8">
        <w:t xml:space="preserve"> the disbursement of deposits and through service charges for employing the processor.</w:t>
      </w:r>
    </w:p>
    <w:p w14:paraId="0000007D" w14:textId="77777777" w:rsidR="006B7F5B" w:rsidRPr="001338D8" w:rsidRDefault="006B7F5B"/>
    <w:p w14:paraId="0000007E" w14:textId="77777777" w:rsidR="006B7F5B" w:rsidRPr="001338D8" w:rsidRDefault="006B7F5B"/>
    <w:p w14:paraId="0000007F" w14:textId="17F0E2DB" w:rsidR="006B7F5B" w:rsidRPr="001338D8" w:rsidRDefault="00000000">
      <w:r w:rsidRPr="001338D8">
        <w:t xml:space="preserve">The Lunar Solar Belt is engineered to work at gigawatt to terawatt scales, making it a new variety of baseload </w:t>
      </w:r>
      <w:r w:rsidR="000615C5" w:rsidRPr="001338D8">
        <w:t>suppliers</w:t>
      </w:r>
      <w:r w:rsidRPr="001338D8">
        <w:t>. Possible sources of revenue are:</w:t>
      </w:r>
    </w:p>
    <w:p w14:paraId="00000080" w14:textId="77777777" w:rsidR="006B7F5B" w:rsidRPr="001338D8" w:rsidRDefault="006B7F5B"/>
    <w:p w14:paraId="00000081" w14:textId="77777777" w:rsidR="006B7F5B" w:rsidRPr="001338D8" w:rsidRDefault="00000000">
      <w:r w:rsidRPr="001338D8">
        <w:rPr>
          <w:u w:val="single"/>
        </w:rPr>
        <w:t>Wholesale Power Sales:</w:t>
      </w:r>
      <w:r w:rsidRPr="001338D8">
        <w:t xml:space="preserve"> Power sold to grid operators from rectenna delivered electricity will be competitive with options such as high-demand, low renewable resource areas. Strategically placed, LSB can service areas at risk of energy shocks or weather events.</w:t>
      </w:r>
    </w:p>
    <w:p w14:paraId="00000082" w14:textId="77777777" w:rsidR="006B7F5B" w:rsidRPr="001338D8" w:rsidRDefault="00000000">
      <w:r w:rsidRPr="001338D8">
        <w:rPr>
          <w:u w:val="single"/>
        </w:rPr>
        <w:t xml:space="preserve">Carbon Credit Markets: </w:t>
      </w:r>
      <w:r w:rsidRPr="001338D8">
        <w:t>As countries implement carbon pricing, the LSB’s zero emissions profile is monetizable. Carbon credits generated from the sale of clean energy can be sold internationally or used to strengthen bilateral energy deals.</w:t>
      </w:r>
    </w:p>
    <w:p w14:paraId="00000083" w14:textId="77777777" w:rsidR="006B7F5B" w:rsidRPr="001338D8" w:rsidRDefault="00000000">
      <w:r w:rsidRPr="001338D8">
        <w:rPr>
          <w:u w:val="single"/>
        </w:rPr>
        <w:t>High-Value Services Grid Services:</w:t>
      </w:r>
      <w:r w:rsidRPr="001338D8">
        <w:t xml:space="preserve"> The LSB’s high availability and constantly operable generating capacity make it attractive for providing grid ancillary services such as frequency response, peak shaving, and black start capabilities, which can be contract monetised by utilities.</w:t>
      </w:r>
    </w:p>
    <w:p w14:paraId="00000084" w14:textId="77777777" w:rsidR="006B7F5B" w:rsidRPr="001338D8" w:rsidRDefault="00000000">
      <w:r w:rsidRPr="001338D8">
        <w:rPr>
          <w:u w:val="single"/>
        </w:rPr>
        <w:t>Strategic Licensing and Access:</w:t>
      </w:r>
      <w:r w:rsidRPr="001338D8">
        <w:t xml:space="preserve"> The construction of the system’s ground infrastructure could be financed by international consortia, which countries, companies or consortiums could then own stakes in or lease for long-term access to energy, particularly important for countries with little land surface area or sunshine suitable for solar energy.</w:t>
      </w:r>
    </w:p>
    <w:p w14:paraId="00000085" w14:textId="77777777" w:rsidR="006B7F5B" w:rsidRPr="001338D8" w:rsidRDefault="006B7F5B"/>
    <w:p w14:paraId="00000086" w14:textId="77777777" w:rsidR="006B7F5B" w:rsidRPr="001338D8" w:rsidRDefault="006B7F5B"/>
    <w:p w14:paraId="00000087" w14:textId="77777777" w:rsidR="006B7F5B" w:rsidRPr="001338D8" w:rsidRDefault="00000000">
      <w:pPr>
        <w:rPr>
          <w:b/>
        </w:rPr>
      </w:pPr>
      <w:r w:rsidRPr="001338D8">
        <w:rPr>
          <w:b/>
        </w:rPr>
        <w:t>5.3. Energy Returned on (Energy) Invested (EROE)</w:t>
      </w:r>
    </w:p>
    <w:p w14:paraId="0FE4D4CA" w14:textId="34920F28" w:rsidR="00D74A2B" w:rsidRPr="00D74A2B" w:rsidRDefault="00D74A2B" w:rsidP="00D74A2B">
      <w:pPr>
        <w:rPr>
          <w:b/>
          <w:lang w:val="en-US"/>
        </w:rPr>
      </w:pPr>
      <w:r w:rsidRPr="00D74A2B">
        <w:rPr>
          <w:b/>
          <w:noProof/>
          <w:lang w:val="en-US"/>
        </w:rPr>
        <w:drawing>
          <wp:inline distT="0" distB="0" distL="0" distR="0" wp14:anchorId="370D2F85" wp14:editId="13EF62AD">
            <wp:extent cx="5943600" cy="2496185"/>
            <wp:effectExtent l="0" t="0" r="0" b="0"/>
            <wp:docPr id="1950943632" name="Picture 16" descr="A graph of solar belt and energy technolog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943632" name="Picture 16" descr="A graph of solar belt and energy technology&#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496185"/>
                    </a:xfrm>
                    <a:prstGeom prst="rect">
                      <a:avLst/>
                    </a:prstGeom>
                    <a:noFill/>
                    <a:ln>
                      <a:noFill/>
                    </a:ln>
                  </pic:spPr>
                </pic:pic>
              </a:graphicData>
            </a:graphic>
          </wp:inline>
        </w:drawing>
      </w:r>
    </w:p>
    <w:p w14:paraId="197DEE69" w14:textId="4D9429D1" w:rsidR="00E426B2" w:rsidRPr="00E426B2" w:rsidRDefault="00E426B2" w:rsidP="00E426B2">
      <w:pPr>
        <w:rPr>
          <w:b/>
          <w:lang w:val="en-US"/>
        </w:rPr>
      </w:pPr>
    </w:p>
    <w:p w14:paraId="00000088" w14:textId="77777777" w:rsidR="006B7F5B" w:rsidRPr="001338D8" w:rsidRDefault="006B7F5B">
      <w:pPr>
        <w:rPr>
          <w:b/>
        </w:rPr>
      </w:pPr>
    </w:p>
    <w:p w14:paraId="00000089" w14:textId="77777777" w:rsidR="006B7F5B" w:rsidRPr="001338D8" w:rsidRDefault="00000000">
      <w:r w:rsidRPr="001338D8">
        <w:t>Energy Return on Investment is a really important metric by which to measure large scale energy systems. The LSB EROI accounts for all the energy that must be expended to mine, fabricate, launch, and build and maintain the system versus the energy that will be delivered back to the Earth over the system’s operational life.</w:t>
      </w:r>
    </w:p>
    <w:p w14:paraId="0000008A" w14:textId="63BEB329" w:rsidR="006B7F5B" w:rsidRPr="001338D8" w:rsidRDefault="00000000">
      <w:r w:rsidRPr="001338D8">
        <w:t xml:space="preserve">Initial models predict an EROI in the range 7:1 – 10:1 over a </w:t>
      </w:r>
      <w:r w:rsidR="000615C5" w:rsidRPr="001338D8">
        <w:t>30-year</w:t>
      </w:r>
      <w:r w:rsidRPr="001338D8">
        <w:t xml:space="preserve"> </w:t>
      </w:r>
      <w:r w:rsidR="000615C5" w:rsidRPr="001338D8">
        <w:t>life cycle</w:t>
      </w:r>
      <w:r w:rsidRPr="001338D8">
        <w:t>. These figures assume:</w:t>
      </w:r>
    </w:p>
    <w:p w14:paraId="0000008B" w14:textId="77777777" w:rsidR="006B7F5B" w:rsidRPr="001338D8" w:rsidRDefault="006B7F5B"/>
    <w:p w14:paraId="0000008C" w14:textId="77777777" w:rsidR="006B7F5B" w:rsidRPr="001338D8" w:rsidRDefault="00000000">
      <w:pPr>
        <w:numPr>
          <w:ilvl w:val="0"/>
          <w:numId w:val="3"/>
        </w:numPr>
      </w:pPr>
      <w:r w:rsidRPr="001338D8">
        <w:t>Local material usage for &gt;70% of parts</w:t>
      </w:r>
    </w:p>
    <w:p w14:paraId="0000008D" w14:textId="77777777" w:rsidR="006B7F5B" w:rsidRPr="001338D8" w:rsidRDefault="00000000">
      <w:pPr>
        <w:numPr>
          <w:ilvl w:val="0"/>
          <w:numId w:val="3"/>
        </w:numPr>
      </w:pPr>
      <w:r w:rsidRPr="001338D8">
        <w:t>Highly efficient microwave conversion and transmission (&gt;80%)</w:t>
      </w:r>
    </w:p>
    <w:p w14:paraId="0000008E" w14:textId="77777777" w:rsidR="006B7F5B" w:rsidRPr="001338D8" w:rsidRDefault="00000000">
      <w:pPr>
        <w:numPr>
          <w:ilvl w:val="0"/>
          <w:numId w:val="3"/>
        </w:numPr>
      </w:pPr>
      <w:r w:rsidRPr="001338D8">
        <w:t>Very low mechanical erosion by lunar environment</w:t>
      </w:r>
    </w:p>
    <w:p w14:paraId="0000008F" w14:textId="77777777" w:rsidR="006B7F5B" w:rsidRPr="001338D8" w:rsidRDefault="00000000">
      <w:pPr>
        <w:numPr>
          <w:ilvl w:val="0"/>
          <w:numId w:val="3"/>
        </w:numPr>
      </w:pPr>
      <w:r w:rsidRPr="001338D8">
        <w:t>Redundant-enabled Operations with Automatic Repair</w:t>
      </w:r>
    </w:p>
    <w:p w14:paraId="00000090" w14:textId="77777777" w:rsidR="006B7F5B" w:rsidRPr="001338D8" w:rsidRDefault="006B7F5B">
      <w:pPr>
        <w:ind w:left="720"/>
      </w:pPr>
    </w:p>
    <w:p w14:paraId="00000091" w14:textId="77777777" w:rsidR="006B7F5B" w:rsidRDefault="00000000">
      <w:pPr>
        <w:ind w:left="720"/>
        <w:rPr>
          <w:rFonts w:eastAsia="Arial Unicode MS"/>
        </w:rPr>
      </w:pPr>
      <w:r w:rsidRPr="001338D8">
        <w:rPr>
          <w:rFonts w:eastAsia="Arial Unicode MS"/>
        </w:rPr>
        <w:t>This EROI is on par with or higher than terrestrial photovoltaics (6:1−10:1) and far better than biofuels or coal (&lt;5:1) and establishes the competitiveness of the LSB as a scalable, high-efficiency solution.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5"/>
        <w:gridCol w:w="1810"/>
        <w:gridCol w:w="2002"/>
        <w:gridCol w:w="1970"/>
        <w:gridCol w:w="1353"/>
      </w:tblGrid>
      <w:tr w:rsidR="008A76F0" w:rsidRPr="008A76F0" w14:paraId="0AB25A67" w14:textId="77777777" w:rsidTr="008A76F0">
        <w:trPr>
          <w:tblHeader/>
          <w:tblCellSpacing w:w="15" w:type="dxa"/>
        </w:trPr>
        <w:tc>
          <w:tcPr>
            <w:tcW w:w="0" w:type="auto"/>
            <w:vAlign w:val="center"/>
            <w:hideMark/>
          </w:tcPr>
          <w:p w14:paraId="070D797F" w14:textId="77777777" w:rsidR="008A76F0" w:rsidRPr="008A76F0" w:rsidRDefault="008A76F0" w:rsidP="008A76F0">
            <w:pPr>
              <w:ind w:left="720"/>
              <w:rPr>
                <w:b/>
                <w:bCs/>
                <w:lang w:val="en-US"/>
              </w:rPr>
            </w:pPr>
            <w:r w:rsidRPr="008A76F0">
              <w:rPr>
                <w:b/>
                <w:bCs/>
                <w:lang w:val="en-US"/>
              </w:rPr>
              <w:t>Launch Cost ($/kg)</w:t>
            </w:r>
          </w:p>
        </w:tc>
        <w:tc>
          <w:tcPr>
            <w:tcW w:w="0" w:type="auto"/>
            <w:vAlign w:val="center"/>
            <w:hideMark/>
          </w:tcPr>
          <w:p w14:paraId="2AFAC478" w14:textId="77777777" w:rsidR="008A76F0" w:rsidRPr="008A76F0" w:rsidRDefault="008A76F0" w:rsidP="008A76F0">
            <w:pPr>
              <w:ind w:left="720"/>
              <w:rPr>
                <w:b/>
                <w:bCs/>
                <w:lang w:val="en-US"/>
              </w:rPr>
            </w:pPr>
            <w:r w:rsidRPr="008A76F0">
              <w:rPr>
                <w:b/>
                <w:bCs/>
                <w:lang w:val="en-US"/>
              </w:rPr>
              <w:t>CAPEX ($B)</w:t>
            </w:r>
          </w:p>
        </w:tc>
        <w:tc>
          <w:tcPr>
            <w:tcW w:w="0" w:type="auto"/>
            <w:vAlign w:val="center"/>
            <w:hideMark/>
          </w:tcPr>
          <w:p w14:paraId="7150066F" w14:textId="77777777" w:rsidR="008A76F0" w:rsidRPr="008A76F0" w:rsidRDefault="008A76F0" w:rsidP="008A76F0">
            <w:pPr>
              <w:ind w:left="720"/>
              <w:rPr>
                <w:b/>
                <w:bCs/>
                <w:lang w:val="en-US"/>
              </w:rPr>
            </w:pPr>
            <w:r w:rsidRPr="008A76F0">
              <w:rPr>
                <w:b/>
                <w:bCs/>
                <w:lang w:val="en-US"/>
              </w:rPr>
              <w:t>LCOE ($/MWh)</w:t>
            </w:r>
          </w:p>
        </w:tc>
        <w:tc>
          <w:tcPr>
            <w:tcW w:w="0" w:type="auto"/>
            <w:vAlign w:val="center"/>
            <w:hideMark/>
          </w:tcPr>
          <w:p w14:paraId="2613BE2C" w14:textId="77777777" w:rsidR="008A76F0" w:rsidRPr="008A76F0" w:rsidRDefault="008A76F0" w:rsidP="008A76F0">
            <w:pPr>
              <w:ind w:left="720"/>
              <w:rPr>
                <w:b/>
                <w:bCs/>
                <w:lang w:val="en-US"/>
              </w:rPr>
            </w:pPr>
            <w:r w:rsidRPr="008A76F0">
              <w:rPr>
                <w:b/>
                <w:bCs/>
                <w:lang w:val="en-US"/>
              </w:rPr>
              <w:t>Payback (yrs)</w:t>
            </w:r>
          </w:p>
        </w:tc>
        <w:tc>
          <w:tcPr>
            <w:tcW w:w="0" w:type="auto"/>
            <w:vAlign w:val="center"/>
            <w:hideMark/>
          </w:tcPr>
          <w:p w14:paraId="5E735C8C" w14:textId="77777777" w:rsidR="008A76F0" w:rsidRPr="008A76F0" w:rsidRDefault="008A76F0" w:rsidP="008A76F0">
            <w:pPr>
              <w:ind w:left="720"/>
              <w:rPr>
                <w:b/>
                <w:bCs/>
                <w:lang w:val="en-US"/>
              </w:rPr>
            </w:pPr>
            <w:r w:rsidRPr="008A76F0">
              <w:rPr>
                <w:b/>
                <w:bCs/>
                <w:lang w:val="en-US"/>
              </w:rPr>
              <w:t>EROI</w:t>
            </w:r>
          </w:p>
        </w:tc>
      </w:tr>
      <w:tr w:rsidR="008A76F0" w:rsidRPr="008A76F0" w14:paraId="359EFE72" w14:textId="77777777" w:rsidTr="008A76F0">
        <w:trPr>
          <w:tblCellSpacing w:w="15" w:type="dxa"/>
        </w:trPr>
        <w:tc>
          <w:tcPr>
            <w:tcW w:w="0" w:type="auto"/>
            <w:vAlign w:val="center"/>
            <w:hideMark/>
          </w:tcPr>
          <w:p w14:paraId="7742D856" w14:textId="77777777" w:rsidR="008A76F0" w:rsidRPr="008A76F0" w:rsidRDefault="008A76F0" w:rsidP="008A76F0">
            <w:pPr>
              <w:ind w:left="720"/>
              <w:rPr>
                <w:lang w:val="en-US"/>
              </w:rPr>
            </w:pPr>
            <w:r w:rsidRPr="008A76F0">
              <w:rPr>
                <w:lang w:val="en-US"/>
              </w:rPr>
              <w:t>2000</w:t>
            </w:r>
          </w:p>
        </w:tc>
        <w:tc>
          <w:tcPr>
            <w:tcW w:w="0" w:type="auto"/>
            <w:vAlign w:val="center"/>
            <w:hideMark/>
          </w:tcPr>
          <w:p w14:paraId="5A7260EA" w14:textId="77777777" w:rsidR="008A76F0" w:rsidRPr="008A76F0" w:rsidRDefault="008A76F0" w:rsidP="008A76F0">
            <w:pPr>
              <w:ind w:left="720"/>
              <w:rPr>
                <w:lang w:val="en-US"/>
              </w:rPr>
            </w:pPr>
            <w:r w:rsidRPr="008A76F0">
              <w:rPr>
                <w:lang w:val="en-US"/>
              </w:rPr>
              <w:t>250</w:t>
            </w:r>
          </w:p>
        </w:tc>
        <w:tc>
          <w:tcPr>
            <w:tcW w:w="0" w:type="auto"/>
            <w:vAlign w:val="center"/>
            <w:hideMark/>
          </w:tcPr>
          <w:p w14:paraId="70FCCCA4" w14:textId="77777777" w:rsidR="008A76F0" w:rsidRPr="008A76F0" w:rsidRDefault="008A76F0" w:rsidP="008A76F0">
            <w:pPr>
              <w:ind w:left="720"/>
              <w:rPr>
                <w:lang w:val="en-US"/>
              </w:rPr>
            </w:pPr>
            <w:r w:rsidRPr="008A76F0">
              <w:rPr>
                <w:lang w:val="en-US"/>
              </w:rPr>
              <w:t>260</w:t>
            </w:r>
          </w:p>
        </w:tc>
        <w:tc>
          <w:tcPr>
            <w:tcW w:w="0" w:type="auto"/>
            <w:vAlign w:val="center"/>
            <w:hideMark/>
          </w:tcPr>
          <w:p w14:paraId="2D43B567" w14:textId="77777777" w:rsidR="008A76F0" w:rsidRPr="008A76F0" w:rsidRDefault="008A76F0" w:rsidP="008A76F0">
            <w:pPr>
              <w:ind w:left="720"/>
              <w:rPr>
                <w:lang w:val="en-US"/>
              </w:rPr>
            </w:pPr>
            <w:r w:rsidRPr="008A76F0">
              <w:rPr>
                <w:lang w:val="en-US"/>
              </w:rPr>
              <w:t>40</w:t>
            </w:r>
          </w:p>
        </w:tc>
        <w:tc>
          <w:tcPr>
            <w:tcW w:w="0" w:type="auto"/>
            <w:vAlign w:val="center"/>
            <w:hideMark/>
          </w:tcPr>
          <w:p w14:paraId="1992F3C8" w14:textId="77777777" w:rsidR="008A76F0" w:rsidRPr="008A76F0" w:rsidRDefault="008A76F0" w:rsidP="008A76F0">
            <w:pPr>
              <w:ind w:left="720"/>
              <w:rPr>
                <w:lang w:val="en-US"/>
              </w:rPr>
            </w:pPr>
            <w:r w:rsidRPr="008A76F0">
              <w:rPr>
                <w:lang w:val="en-US"/>
              </w:rPr>
              <w:t>2</w:t>
            </w:r>
          </w:p>
        </w:tc>
      </w:tr>
      <w:tr w:rsidR="008A76F0" w:rsidRPr="008A76F0" w14:paraId="0FD17DA2" w14:textId="77777777" w:rsidTr="008A76F0">
        <w:trPr>
          <w:tblCellSpacing w:w="15" w:type="dxa"/>
        </w:trPr>
        <w:tc>
          <w:tcPr>
            <w:tcW w:w="0" w:type="auto"/>
            <w:vAlign w:val="center"/>
            <w:hideMark/>
          </w:tcPr>
          <w:p w14:paraId="2F943D7F" w14:textId="77777777" w:rsidR="008A76F0" w:rsidRPr="008A76F0" w:rsidRDefault="008A76F0" w:rsidP="008A76F0">
            <w:pPr>
              <w:ind w:left="720"/>
              <w:rPr>
                <w:lang w:val="en-US"/>
              </w:rPr>
            </w:pPr>
            <w:r w:rsidRPr="008A76F0">
              <w:rPr>
                <w:lang w:val="en-US"/>
              </w:rPr>
              <w:t>1000</w:t>
            </w:r>
          </w:p>
        </w:tc>
        <w:tc>
          <w:tcPr>
            <w:tcW w:w="0" w:type="auto"/>
            <w:vAlign w:val="center"/>
            <w:hideMark/>
          </w:tcPr>
          <w:p w14:paraId="6508020F" w14:textId="77777777" w:rsidR="008A76F0" w:rsidRPr="008A76F0" w:rsidRDefault="008A76F0" w:rsidP="008A76F0">
            <w:pPr>
              <w:ind w:left="720"/>
              <w:rPr>
                <w:lang w:val="en-US"/>
              </w:rPr>
            </w:pPr>
            <w:r w:rsidRPr="008A76F0">
              <w:rPr>
                <w:lang w:val="en-US"/>
              </w:rPr>
              <w:t>130</w:t>
            </w:r>
          </w:p>
        </w:tc>
        <w:tc>
          <w:tcPr>
            <w:tcW w:w="0" w:type="auto"/>
            <w:vAlign w:val="center"/>
            <w:hideMark/>
          </w:tcPr>
          <w:p w14:paraId="7F43D9E1" w14:textId="77777777" w:rsidR="008A76F0" w:rsidRPr="008A76F0" w:rsidRDefault="008A76F0" w:rsidP="008A76F0">
            <w:pPr>
              <w:ind w:left="720"/>
              <w:rPr>
                <w:lang w:val="en-US"/>
              </w:rPr>
            </w:pPr>
            <w:r w:rsidRPr="008A76F0">
              <w:rPr>
                <w:lang w:val="en-US"/>
              </w:rPr>
              <w:t>150</w:t>
            </w:r>
          </w:p>
        </w:tc>
        <w:tc>
          <w:tcPr>
            <w:tcW w:w="0" w:type="auto"/>
            <w:vAlign w:val="center"/>
            <w:hideMark/>
          </w:tcPr>
          <w:p w14:paraId="690A842C" w14:textId="77777777" w:rsidR="008A76F0" w:rsidRPr="008A76F0" w:rsidRDefault="008A76F0" w:rsidP="008A76F0">
            <w:pPr>
              <w:ind w:left="720"/>
              <w:rPr>
                <w:lang w:val="en-US"/>
              </w:rPr>
            </w:pPr>
            <w:r w:rsidRPr="008A76F0">
              <w:rPr>
                <w:lang w:val="en-US"/>
              </w:rPr>
              <w:t>27</w:t>
            </w:r>
          </w:p>
        </w:tc>
        <w:tc>
          <w:tcPr>
            <w:tcW w:w="0" w:type="auto"/>
            <w:vAlign w:val="center"/>
            <w:hideMark/>
          </w:tcPr>
          <w:p w14:paraId="537D7A81" w14:textId="77777777" w:rsidR="008A76F0" w:rsidRPr="008A76F0" w:rsidRDefault="008A76F0" w:rsidP="008A76F0">
            <w:pPr>
              <w:ind w:left="720"/>
              <w:rPr>
                <w:lang w:val="en-US"/>
              </w:rPr>
            </w:pPr>
            <w:r w:rsidRPr="008A76F0">
              <w:rPr>
                <w:lang w:val="en-US"/>
              </w:rPr>
              <w:t>4</w:t>
            </w:r>
          </w:p>
        </w:tc>
      </w:tr>
      <w:tr w:rsidR="008A76F0" w:rsidRPr="008A76F0" w14:paraId="070C137F" w14:textId="77777777" w:rsidTr="008A76F0">
        <w:trPr>
          <w:tblCellSpacing w:w="15" w:type="dxa"/>
        </w:trPr>
        <w:tc>
          <w:tcPr>
            <w:tcW w:w="0" w:type="auto"/>
            <w:vAlign w:val="center"/>
            <w:hideMark/>
          </w:tcPr>
          <w:p w14:paraId="72CD705D" w14:textId="77777777" w:rsidR="008A76F0" w:rsidRPr="008A76F0" w:rsidRDefault="008A76F0" w:rsidP="008A76F0">
            <w:pPr>
              <w:ind w:left="720"/>
              <w:rPr>
                <w:lang w:val="en-US"/>
              </w:rPr>
            </w:pPr>
            <w:r w:rsidRPr="008A76F0">
              <w:rPr>
                <w:lang w:val="en-US"/>
              </w:rPr>
              <w:t>500</w:t>
            </w:r>
          </w:p>
        </w:tc>
        <w:tc>
          <w:tcPr>
            <w:tcW w:w="0" w:type="auto"/>
            <w:vAlign w:val="center"/>
            <w:hideMark/>
          </w:tcPr>
          <w:p w14:paraId="4E5C88AF" w14:textId="77777777" w:rsidR="008A76F0" w:rsidRPr="008A76F0" w:rsidRDefault="008A76F0" w:rsidP="008A76F0">
            <w:pPr>
              <w:ind w:left="720"/>
              <w:rPr>
                <w:lang w:val="en-US"/>
              </w:rPr>
            </w:pPr>
            <w:r w:rsidRPr="008A76F0">
              <w:rPr>
                <w:lang w:val="en-US"/>
              </w:rPr>
              <w:t>75</w:t>
            </w:r>
          </w:p>
        </w:tc>
        <w:tc>
          <w:tcPr>
            <w:tcW w:w="0" w:type="auto"/>
            <w:vAlign w:val="center"/>
            <w:hideMark/>
          </w:tcPr>
          <w:p w14:paraId="4EF486CD" w14:textId="77777777" w:rsidR="008A76F0" w:rsidRPr="008A76F0" w:rsidRDefault="008A76F0" w:rsidP="008A76F0">
            <w:pPr>
              <w:ind w:left="720"/>
              <w:rPr>
                <w:lang w:val="en-US"/>
              </w:rPr>
            </w:pPr>
            <w:r w:rsidRPr="008A76F0">
              <w:rPr>
                <w:lang w:val="en-US"/>
              </w:rPr>
              <w:t>90</w:t>
            </w:r>
          </w:p>
        </w:tc>
        <w:tc>
          <w:tcPr>
            <w:tcW w:w="0" w:type="auto"/>
            <w:vAlign w:val="center"/>
            <w:hideMark/>
          </w:tcPr>
          <w:p w14:paraId="15E44F86" w14:textId="77777777" w:rsidR="008A76F0" w:rsidRPr="008A76F0" w:rsidRDefault="008A76F0" w:rsidP="008A76F0">
            <w:pPr>
              <w:ind w:left="720"/>
              <w:rPr>
                <w:lang w:val="en-US"/>
              </w:rPr>
            </w:pPr>
            <w:r w:rsidRPr="008A76F0">
              <w:rPr>
                <w:lang w:val="en-US"/>
              </w:rPr>
              <w:t>18</w:t>
            </w:r>
          </w:p>
        </w:tc>
        <w:tc>
          <w:tcPr>
            <w:tcW w:w="0" w:type="auto"/>
            <w:vAlign w:val="center"/>
            <w:hideMark/>
          </w:tcPr>
          <w:p w14:paraId="72CB947A" w14:textId="77777777" w:rsidR="008A76F0" w:rsidRPr="008A76F0" w:rsidRDefault="008A76F0" w:rsidP="008A76F0">
            <w:pPr>
              <w:ind w:left="720"/>
              <w:rPr>
                <w:lang w:val="en-US"/>
              </w:rPr>
            </w:pPr>
            <w:r w:rsidRPr="008A76F0">
              <w:rPr>
                <w:lang w:val="en-US"/>
              </w:rPr>
              <w:t>7</w:t>
            </w:r>
          </w:p>
        </w:tc>
      </w:tr>
      <w:tr w:rsidR="008A76F0" w:rsidRPr="008A76F0" w14:paraId="2CED901A" w14:textId="77777777" w:rsidTr="008A76F0">
        <w:trPr>
          <w:tblCellSpacing w:w="15" w:type="dxa"/>
        </w:trPr>
        <w:tc>
          <w:tcPr>
            <w:tcW w:w="0" w:type="auto"/>
            <w:vAlign w:val="center"/>
            <w:hideMark/>
          </w:tcPr>
          <w:p w14:paraId="75549652" w14:textId="77777777" w:rsidR="008A76F0" w:rsidRPr="008A76F0" w:rsidRDefault="008A76F0" w:rsidP="008A76F0">
            <w:pPr>
              <w:ind w:left="720"/>
              <w:rPr>
                <w:lang w:val="en-US"/>
              </w:rPr>
            </w:pPr>
            <w:r w:rsidRPr="008A76F0">
              <w:rPr>
                <w:lang w:val="en-US"/>
              </w:rPr>
              <w:t>100</w:t>
            </w:r>
          </w:p>
        </w:tc>
        <w:tc>
          <w:tcPr>
            <w:tcW w:w="0" w:type="auto"/>
            <w:vAlign w:val="center"/>
            <w:hideMark/>
          </w:tcPr>
          <w:p w14:paraId="4917C7EB" w14:textId="77777777" w:rsidR="008A76F0" w:rsidRPr="008A76F0" w:rsidRDefault="008A76F0" w:rsidP="008A76F0">
            <w:pPr>
              <w:ind w:left="720"/>
              <w:rPr>
                <w:lang w:val="en-US"/>
              </w:rPr>
            </w:pPr>
            <w:r w:rsidRPr="008A76F0">
              <w:rPr>
                <w:lang w:val="en-US"/>
              </w:rPr>
              <w:t>20</w:t>
            </w:r>
          </w:p>
        </w:tc>
        <w:tc>
          <w:tcPr>
            <w:tcW w:w="0" w:type="auto"/>
            <w:vAlign w:val="center"/>
            <w:hideMark/>
          </w:tcPr>
          <w:p w14:paraId="305D4D3A" w14:textId="77777777" w:rsidR="008A76F0" w:rsidRPr="008A76F0" w:rsidRDefault="008A76F0" w:rsidP="008A76F0">
            <w:pPr>
              <w:ind w:left="720"/>
              <w:rPr>
                <w:lang w:val="en-US"/>
              </w:rPr>
            </w:pPr>
            <w:r w:rsidRPr="008A76F0">
              <w:rPr>
                <w:lang w:val="en-US"/>
              </w:rPr>
              <w:t>30</w:t>
            </w:r>
          </w:p>
        </w:tc>
        <w:tc>
          <w:tcPr>
            <w:tcW w:w="0" w:type="auto"/>
            <w:vAlign w:val="center"/>
            <w:hideMark/>
          </w:tcPr>
          <w:p w14:paraId="06686F28" w14:textId="77777777" w:rsidR="008A76F0" w:rsidRPr="008A76F0" w:rsidRDefault="008A76F0" w:rsidP="008A76F0">
            <w:pPr>
              <w:ind w:left="720"/>
              <w:rPr>
                <w:lang w:val="en-US"/>
              </w:rPr>
            </w:pPr>
            <w:r w:rsidRPr="008A76F0">
              <w:rPr>
                <w:lang w:val="en-US"/>
              </w:rPr>
              <w:t>8</w:t>
            </w:r>
          </w:p>
        </w:tc>
        <w:tc>
          <w:tcPr>
            <w:tcW w:w="0" w:type="auto"/>
            <w:vAlign w:val="center"/>
            <w:hideMark/>
          </w:tcPr>
          <w:p w14:paraId="6F7D1723" w14:textId="77777777" w:rsidR="008A76F0" w:rsidRPr="008A76F0" w:rsidRDefault="008A76F0" w:rsidP="008A76F0">
            <w:pPr>
              <w:ind w:left="720"/>
              <w:rPr>
                <w:lang w:val="en-US"/>
              </w:rPr>
            </w:pPr>
            <w:r w:rsidRPr="008A76F0">
              <w:rPr>
                <w:lang w:val="en-US"/>
              </w:rPr>
              <w:t>10</w:t>
            </w:r>
          </w:p>
        </w:tc>
      </w:tr>
    </w:tbl>
    <w:p w14:paraId="431FBA40" w14:textId="77777777" w:rsidR="008A76F0" w:rsidRPr="008A76F0" w:rsidRDefault="008A76F0" w:rsidP="008A76F0">
      <w:pPr>
        <w:ind w:left="720"/>
        <w:rPr>
          <w:sz w:val="16"/>
          <w:szCs w:val="16"/>
          <w:lang w:val="en-US"/>
        </w:rPr>
      </w:pPr>
      <w:r w:rsidRPr="008A76F0">
        <w:rPr>
          <w:sz w:val="16"/>
          <w:szCs w:val="16"/>
          <w:lang w:val="en-US"/>
        </w:rPr>
        <w:t>Table 2. LSB system economic sensitivity analysis by launch cost scenario, with LCOE, payback period, and EROI for a 30-year life cycle.</w:t>
      </w:r>
    </w:p>
    <w:p w14:paraId="49CD3F2D" w14:textId="77777777" w:rsidR="008A76F0" w:rsidRPr="001338D8" w:rsidRDefault="008A76F0">
      <w:pPr>
        <w:ind w:left="720"/>
      </w:pPr>
    </w:p>
    <w:p w14:paraId="00000092" w14:textId="77777777" w:rsidR="006B7F5B" w:rsidRPr="001338D8" w:rsidRDefault="006B7F5B">
      <w:pPr>
        <w:ind w:left="720"/>
      </w:pPr>
    </w:p>
    <w:p w14:paraId="00000093" w14:textId="77777777" w:rsidR="006B7F5B" w:rsidRPr="001338D8" w:rsidRDefault="006B7F5B">
      <w:pPr>
        <w:ind w:left="720"/>
      </w:pPr>
    </w:p>
    <w:p w14:paraId="00000094" w14:textId="77777777" w:rsidR="006B7F5B" w:rsidRPr="001338D8" w:rsidRDefault="00000000">
      <w:pPr>
        <w:rPr>
          <w:b/>
        </w:rPr>
      </w:pPr>
      <w:r w:rsidRPr="001338D8">
        <w:rPr>
          <w:b/>
        </w:rPr>
        <w:t>5.4. Risk Reduction and Financial Products</w:t>
      </w:r>
    </w:p>
    <w:p w14:paraId="00000095" w14:textId="77777777" w:rsidR="006B7F5B" w:rsidRPr="001338D8" w:rsidRDefault="006B7F5B">
      <w:pPr>
        <w:rPr>
          <w:b/>
        </w:rPr>
      </w:pPr>
    </w:p>
    <w:p w14:paraId="00000096" w14:textId="77777777" w:rsidR="006B7F5B" w:rsidRPr="001338D8" w:rsidRDefault="00000000">
      <w:r w:rsidRPr="001338D8">
        <w:t>The main risks – technical delays, launch failure and policy disruption – can be addressed through insurance packages, multi-national risk sharing arrangements and diversified investment vehicles. Joint ventures between space agencies, energy utilities, and sovereign green investment funds may lower financial risks and boost stakeholder confidence.</w:t>
      </w:r>
    </w:p>
    <w:p w14:paraId="00000097" w14:textId="77777777" w:rsidR="006B7F5B" w:rsidRPr="001338D8" w:rsidRDefault="00000000">
      <w:r w:rsidRPr="001338D8">
        <w:t>Multilateral development banks and climate finance institutions could be particularly important in underwriting early phases, through decarbonization or resilience finance strategies, for instance. So too sovereign wealth funds and other institutional investors looking for long-term sustainable returns as the LSB is consistent with ESG (Environmental, Social, and Governance) objectives.</w:t>
      </w:r>
    </w:p>
    <w:p w14:paraId="030F22DB" w14:textId="1A33F979" w:rsidR="00D74A2B" w:rsidRPr="00D74A2B" w:rsidRDefault="00D74A2B" w:rsidP="00D74A2B">
      <w:pPr>
        <w:rPr>
          <w:b/>
          <w:lang w:val="en-US"/>
        </w:rPr>
      </w:pPr>
    </w:p>
    <w:p w14:paraId="00000098" w14:textId="77777777" w:rsidR="006B7F5B" w:rsidRPr="001338D8" w:rsidRDefault="00000000">
      <w:pPr>
        <w:rPr>
          <w:b/>
        </w:rPr>
      </w:pPr>
      <w:r w:rsidRPr="001338D8">
        <w:rPr>
          <w:b/>
        </w:rPr>
        <w:br/>
      </w:r>
    </w:p>
    <w:p w14:paraId="00000099" w14:textId="77777777" w:rsidR="006B7F5B" w:rsidRPr="001338D8" w:rsidRDefault="00000000">
      <w:pPr>
        <w:rPr>
          <w:b/>
        </w:rPr>
      </w:pPr>
      <w:r w:rsidRPr="001338D8">
        <w:rPr>
          <w:b/>
        </w:rPr>
        <w:t>6. Environmental and Safety Impacts</w:t>
      </w:r>
      <w:r w:rsidRPr="001338D8">
        <w:rPr>
          <w:b/>
        </w:rPr>
        <w:br/>
      </w:r>
    </w:p>
    <w:p w14:paraId="0000009A" w14:textId="6DF1E8F2" w:rsidR="006B7F5B" w:rsidRPr="001338D8" w:rsidRDefault="00000000">
      <w:pPr>
        <w:spacing w:before="240" w:after="240"/>
      </w:pPr>
      <w:r w:rsidRPr="001338D8">
        <w:lastRenderedPageBreak/>
        <w:t xml:space="preserve">The large-scale photovoltaic power plant as proposed by the LSB leads to a revolution in renewable energy infrastructure in which all people will live and work in the environment that uses energy that does not create environmental problems rather solutions. But a moon-wide operation like that would also require </w:t>
      </w:r>
      <w:r w:rsidR="000615C5" w:rsidRPr="001338D8">
        <w:t>careful</w:t>
      </w:r>
      <w:r w:rsidRPr="001338D8">
        <w:t xml:space="preserve"> consideration of potential environmental risks, safety measures, and ecological trade-offs — on both Earth and the Moon. In this section, we discuss the binary environmental nature of the LSB, and discuss the identified measures to ensure environmental compliance, human safety and sustainable space operation of the planet.</w:t>
      </w:r>
    </w:p>
    <w:p w14:paraId="0000009B" w14:textId="77777777" w:rsidR="006B7F5B" w:rsidRPr="001338D8" w:rsidRDefault="00000000">
      <w:pPr>
        <w:spacing w:before="240" w:after="240"/>
        <w:rPr>
          <w:b/>
        </w:rPr>
      </w:pPr>
      <w:r w:rsidRPr="001338D8">
        <w:rPr>
          <w:b/>
        </w:rPr>
        <w:t>6.1. Environmental Impact on Earth</w:t>
      </w:r>
    </w:p>
    <w:p w14:paraId="0000009C" w14:textId="77777777" w:rsidR="006B7F5B" w:rsidRPr="001338D8" w:rsidRDefault="00000000">
      <w:pPr>
        <w:spacing w:before="240" w:after="240"/>
      </w:pPr>
      <w:r w:rsidRPr="001338D8">
        <w:t>As opposed to fossil fuel plants and large terrestrial solar systems, this technology takes the form of a low-profile, lightweight, and flat-panel system that does not create greenhouse gases, displace people, or produce waste during operation; it is constantly contributing energy back to the grid. Its key ground-side facilities - rectennas - have relatively low physical and visual impact as compared with terrestrial power plants.</w:t>
      </w:r>
    </w:p>
    <w:p w14:paraId="0000009D" w14:textId="77777777" w:rsidR="006B7F5B" w:rsidRPr="001338D8" w:rsidRDefault="00000000">
      <w:pPr>
        <w:spacing w:before="240" w:after="240"/>
      </w:pPr>
      <w:r w:rsidRPr="001338D8">
        <w:t>Rectennas are passive, compact arrays of lightweight antennas elevated above the ground. The land below is potentially dual-use—either for agriculture, or a wildlife reserve—depending on how much power density generated by the microwave beams exceeds what is safe for living biology. Mesh structures of low density in the design enable sun-light and rain to pass through sending ground vegetation, and less damage to the ecology is done.</w:t>
      </w:r>
    </w:p>
    <w:p w14:paraId="0000009E" w14:textId="77777777" w:rsidR="006B7F5B" w:rsidRPr="001338D8" w:rsidRDefault="00000000">
      <w:pPr>
        <w:spacing w:before="240" w:after="240"/>
      </w:pPr>
      <w:r w:rsidRPr="001338D8">
        <w:t>Microwave transmission, the backbone of the LSB, has been analyzed for safety since the 1970s in detail. Innovative phased array solutions afford excellent beam control with numerous fail-safes. The power densities at ground level are kept at far below regulatory limits for occupational and public exposure (most of the time below 1 mW/cm²). Beam deviation or obstruction detection can be used as the triggering device for the automatic shutoff in response to an aircraft, wildlife, or human entering the path of the beam.</w:t>
      </w:r>
    </w:p>
    <w:p w14:paraId="0000009F" w14:textId="77777777" w:rsidR="006B7F5B" w:rsidRPr="001338D8" w:rsidRDefault="006B7F5B">
      <w:pPr>
        <w:spacing w:before="240" w:after="240"/>
      </w:pPr>
    </w:p>
    <w:p w14:paraId="000000A0" w14:textId="77777777" w:rsidR="006B7F5B" w:rsidRDefault="00000000">
      <w:pPr>
        <w:spacing w:before="240" w:after="240"/>
      </w:pPr>
      <w:r w:rsidRPr="001338D8">
        <w:t>In addition, rectenna array could be arranged in an optimal way to reduce the human body exposure as much as possible. Rectennas at offshore floating sites and at remote locations in desert and high-altitude plateau mitigate risk and public opposition. Acoustic and electromagnetic emissions are minimal and potential sensory pollution and electromagnetic interference with communications is very low.</w:t>
      </w:r>
    </w:p>
    <w:p w14:paraId="21A33AD9" w14:textId="77777777" w:rsidR="008A76F0" w:rsidRDefault="008A76F0">
      <w:pPr>
        <w:spacing w:before="240" w:after="240"/>
      </w:pPr>
    </w:p>
    <w:p w14:paraId="663D176A" w14:textId="77777777" w:rsidR="008A76F0" w:rsidRDefault="008A76F0">
      <w:pPr>
        <w:spacing w:before="240" w:after="240"/>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50"/>
        <w:gridCol w:w="1474"/>
        <w:gridCol w:w="1498"/>
        <w:gridCol w:w="1768"/>
        <w:gridCol w:w="1820"/>
      </w:tblGrid>
      <w:tr w:rsidR="008A76F0" w:rsidRPr="008A76F0" w14:paraId="207E41F4" w14:textId="77777777" w:rsidTr="008A76F0">
        <w:trPr>
          <w:tblHeader/>
          <w:tblCellSpacing w:w="15" w:type="dxa"/>
        </w:trPr>
        <w:tc>
          <w:tcPr>
            <w:tcW w:w="0" w:type="auto"/>
            <w:vAlign w:val="center"/>
            <w:hideMark/>
          </w:tcPr>
          <w:p w14:paraId="02BEEC4C" w14:textId="77777777" w:rsidR="008A76F0" w:rsidRPr="008A76F0" w:rsidRDefault="008A76F0" w:rsidP="008A76F0">
            <w:pPr>
              <w:spacing w:before="240" w:after="240"/>
              <w:rPr>
                <w:b/>
                <w:bCs/>
                <w:lang w:val="en-US"/>
              </w:rPr>
            </w:pPr>
            <w:r w:rsidRPr="008A76F0">
              <w:rPr>
                <w:b/>
                <w:bCs/>
                <w:lang w:val="en-US"/>
              </w:rPr>
              <w:lastRenderedPageBreak/>
              <w:t>Impact Area</w:t>
            </w:r>
          </w:p>
        </w:tc>
        <w:tc>
          <w:tcPr>
            <w:tcW w:w="0" w:type="auto"/>
            <w:vAlign w:val="center"/>
            <w:hideMark/>
          </w:tcPr>
          <w:p w14:paraId="717BDCD3" w14:textId="77777777" w:rsidR="008A76F0" w:rsidRPr="008A76F0" w:rsidRDefault="008A76F0" w:rsidP="008A76F0">
            <w:pPr>
              <w:spacing w:before="240" w:after="240"/>
              <w:rPr>
                <w:b/>
                <w:bCs/>
                <w:lang w:val="en-US"/>
              </w:rPr>
            </w:pPr>
            <w:r w:rsidRPr="008A76F0">
              <w:rPr>
                <w:b/>
                <w:bCs/>
                <w:lang w:val="en-US"/>
              </w:rPr>
              <w:t>LSB on Earth</w:t>
            </w:r>
          </w:p>
        </w:tc>
        <w:tc>
          <w:tcPr>
            <w:tcW w:w="0" w:type="auto"/>
            <w:vAlign w:val="center"/>
            <w:hideMark/>
          </w:tcPr>
          <w:p w14:paraId="37D373DB" w14:textId="77777777" w:rsidR="008A76F0" w:rsidRPr="008A76F0" w:rsidRDefault="008A76F0" w:rsidP="008A76F0">
            <w:pPr>
              <w:spacing w:before="240" w:after="240"/>
              <w:rPr>
                <w:b/>
                <w:bCs/>
                <w:lang w:val="en-US"/>
              </w:rPr>
            </w:pPr>
            <w:r w:rsidRPr="008A76F0">
              <w:rPr>
                <w:b/>
                <w:bCs/>
                <w:lang w:val="en-US"/>
              </w:rPr>
              <w:t>LSB on Moon</w:t>
            </w:r>
          </w:p>
        </w:tc>
        <w:tc>
          <w:tcPr>
            <w:tcW w:w="0" w:type="auto"/>
            <w:vAlign w:val="center"/>
            <w:hideMark/>
          </w:tcPr>
          <w:p w14:paraId="46106403" w14:textId="77777777" w:rsidR="008A76F0" w:rsidRPr="008A76F0" w:rsidRDefault="008A76F0" w:rsidP="008A76F0">
            <w:pPr>
              <w:spacing w:before="240" w:after="240"/>
              <w:rPr>
                <w:b/>
                <w:bCs/>
                <w:lang w:val="en-US"/>
              </w:rPr>
            </w:pPr>
            <w:r w:rsidRPr="008A76F0">
              <w:rPr>
                <w:b/>
                <w:bCs/>
                <w:lang w:val="en-US"/>
              </w:rPr>
              <w:t>Terrestrial Solar</w:t>
            </w:r>
          </w:p>
        </w:tc>
        <w:tc>
          <w:tcPr>
            <w:tcW w:w="0" w:type="auto"/>
            <w:vAlign w:val="center"/>
            <w:hideMark/>
          </w:tcPr>
          <w:p w14:paraId="7DD99D8E" w14:textId="77777777" w:rsidR="008A76F0" w:rsidRPr="008A76F0" w:rsidRDefault="008A76F0" w:rsidP="008A76F0">
            <w:pPr>
              <w:spacing w:before="240" w:after="240"/>
              <w:rPr>
                <w:b/>
                <w:bCs/>
                <w:lang w:val="en-US"/>
              </w:rPr>
            </w:pPr>
            <w:r w:rsidRPr="008A76F0">
              <w:rPr>
                <w:b/>
                <w:bCs/>
                <w:lang w:val="en-US"/>
              </w:rPr>
              <w:t>Fossil Fuel</w:t>
            </w:r>
          </w:p>
        </w:tc>
      </w:tr>
      <w:tr w:rsidR="008A76F0" w:rsidRPr="008A76F0" w14:paraId="0118B04D" w14:textId="77777777" w:rsidTr="008A76F0">
        <w:trPr>
          <w:tblCellSpacing w:w="15" w:type="dxa"/>
        </w:trPr>
        <w:tc>
          <w:tcPr>
            <w:tcW w:w="0" w:type="auto"/>
            <w:vAlign w:val="center"/>
            <w:hideMark/>
          </w:tcPr>
          <w:p w14:paraId="26B500BD" w14:textId="77777777" w:rsidR="008A76F0" w:rsidRPr="008A76F0" w:rsidRDefault="008A76F0" w:rsidP="008A76F0">
            <w:pPr>
              <w:spacing w:before="240" w:after="240"/>
              <w:rPr>
                <w:lang w:val="en-US"/>
              </w:rPr>
            </w:pPr>
            <w:r w:rsidRPr="008A76F0">
              <w:rPr>
                <w:lang w:val="en-US"/>
              </w:rPr>
              <w:t>GHG Emissions</w:t>
            </w:r>
          </w:p>
        </w:tc>
        <w:tc>
          <w:tcPr>
            <w:tcW w:w="0" w:type="auto"/>
            <w:vAlign w:val="center"/>
            <w:hideMark/>
          </w:tcPr>
          <w:p w14:paraId="08EA1700" w14:textId="77777777" w:rsidR="008A76F0" w:rsidRPr="008A76F0" w:rsidRDefault="008A76F0" w:rsidP="008A76F0">
            <w:pPr>
              <w:spacing w:before="240" w:after="240"/>
              <w:rPr>
                <w:lang w:val="en-US"/>
              </w:rPr>
            </w:pPr>
            <w:r w:rsidRPr="008A76F0">
              <w:rPr>
                <w:lang w:val="en-US"/>
              </w:rPr>
              <w:t>None</w:t>
            </w:r>
          </w:p>
        </w:tc>
        <w:tc>
          <w:tcPr>
            <w:tcW w:w="0" w:type="auto"/>
            <w:vAlign w:val="center"/>
            <w:hideMark/>
          </w:tcPr>
          <w:p w14:paraId="1781014B" w14:textId="77777777" w:rsidR="008A76F0" w:rsidRPr="008A76F0" w:rsidRDefault="008A76F0" w:rsidP="008A76F0">
            <w:pPr>
              <w:spacing w:before="240" w:after="240"/>
              <w:rPr>
                <w:lang w:val="en-US"/>
              </w:rPr>
            </w:pPr>
            <w:r w:rsidRPr="008A76F0">
              <w:rPr>
                <w:lang w:val="en-US"/>
              </w:rPr>
              <w:t>None</w:t>
            </w:r>
          </w:p>
        </w:tc>
        <w:tc>
          <w:tcPr>
            <w:tcW w:w="0" w:type="auto"/>
            <w:vAlign w:val="center"/>
            <w:hideMark/>
          </w:tcPr>
          <w:p w14:paraId="4B1B46C1" w14:textId="77777777" w:rsidR="008A76F0" w:rsidRPr="008A76F0" w:rsidRDefault="008A76F0" w:rsidP="008A76F0">
            <w:pPr>
              <w:spacing w:before="240" w:after="240"/>
              <w:rPr>
                <w:lang w:val="en-US"/>
              </w:rPr>
            </w:pPr>
            <w:r w:rsidRPr="008A76F0">
              <w:rPr>
                <w:lang w:val="en-US"/>
              </w:rPr>
              <w:t>Low</w:t>
            </w:r>
          </w:p>
        </w:tc>
        <w:tc>
          <w:tcPr>
            <w:tcW w:w="0" w:type="auto"/>
            <w:vAlign w:val="center"/>
            <w:hideMark/>
          </w:tcPr>
          <w:p w14:paraId="70762FE7" w14:textId="77777777" w:rsidR="008A76F0" w:rsidRPr="008A76F0" w:rsidRDefault="008A76F0" w:rsidP="008A76F0">
            <w:pPr>
              <w:spacing w:before="240" w:after="240"/>
              <w:rPr>
                <w:lang w:val="en-US"/>
              </w:rPr>
            </w:pPr>
            <w:r w:rsidRPr="008A76F0">
              <w:rPr>
                <w:lang w:val="en-US"/>
              </w:rPr>
              <w:t>Very High</w:t>
            </w:r>
          </w:p>
        </w:tc>
      </w:tr>
      <w:tr w:rsidR="008A76F0" w:rsidRPr="008A76F0" w14:paraId="260AD868" w14:textId="77777777" w:rsidTr="008A76F0">
        <w:trPr>
          <w:tblCellSpacing w:w="15" w:type="dxa"/>
        </w:trPr>
        <w:tc>
          <w:tcPr>
            <w:tcW w:w="0" w:type="auto"/>
            <w:vAlign w:val="center"/>
            <w:hideMark/>
          </w:tcPr>
          <w:p w14:paraId="2B30255C" w14:textId="77777777" w:rsidR="008A76F0" w:rsidRPr="008A76F0" w:rsidRDefault="008A76F0" w:rsidP="008A76F0">
            <w:pPr>
              <w:spacing w:before="240" w:after="240"/>
              <w:rPr>
                <w:lang w:val="en-US"/>
              </w:rPr>
            </w:pPr>
            <w:r w:rsidRPr="008A76F0">
              <w:rPr>
                <w:lang w:val="en-US"/>
              </w:rPr>
              <w:t>Land Use</w:t>
            </w:r>
          </w:p>
        </w:tc>
        <w:tc>
          <w:tcPr>
            <w:tcW w:w="0" w:type="auto"/>
            <w:vAlign w:val="center"/>
            <w:hideMark/>
          </w:tcPr>
          <w:p w14:paraId="7115F46A" w14:textId="77777777" w:rsidR="008A76F0" w:rsidRPr="008A76F0" w:rsidRDefault="008A76F0" w:rsidP="008A76F0">
            <w:pPr>
              <w:spacing w:before="240" w:after="240"/>
              <w:rPr>
                <w:lang w:val="en-US"/>
              </w:rPr>
            </w:pPr>
            <w:r w:rsidRPr="008A76F0">
              <w:rPr>
                <w:lang w:val="en-US"/>
              </w:rPr>
              <w:t>Low/offshore</w:t>
            </w:r>
          </w:p>
        </w:tc>
        <w:tc>
          <w:tcPr>
            <w:tcW w:w="0" w:type="auto"/>
            <w:vAlign w:val="center"/>
            <w:hideMark/>
          </w:tcPr>
          <w:p w14:paraId="724E8279" w14:textId="77777777" w:rsidR="008A76F0" w:rsidRPr="008A76F0" w:rsidRDefault="008A76F0" w:rsidP="008A76F0">
            <w:pPr>
              <w:spacing w:before="240" w:after="240"/>
              <w:rPr>
                <w:lang w:val="en-US"/>
              </w:rPr>
            </w:pPr>
            <w:r w:rsidRPr="008A76F0">
              <w:rPr>
                <w:lang w:val="en-US"/>
              </w:rPr>
              <w:t>Uninhabited</w:t>
            </w:r>
          </w:p>
        </w:tc>
        <w:tc>
          <w:tcPr>
            <w:tcW w:w="0" w:type="auto"/>
            <w:vAlign w:val="center"/>
            <w:hideMark/>
          </w:tcPr>
          <w:p w14:paraId="48F05D35" w14:textId="77777777" w:rsidR="008A76F0" w:rsidRPr="008A76F0" w:rsidRDefault="008A76F0" w:rsidP="008A76F0">
            <w:pPr>
              <w:spacing w:before="240" w:after="240"/>
              <w:rPr>
                <w:lang w:val="en-US"/>
              </w:rPr>
            </w:pPr>
            <w:r w:rsidRPr="008A76F0">
              <w:rPr>
                <w:lang w:val="en-US"/>
              </w:rPr>
              <w:t>Moderate-high</w:t>
            </w:r>
          </w:p>
        </w:tc>
        <w:tc>
          <w:tcPr>
            <w:tcW w:w="0" w:type="auto"/>
            <w:vAlign w:val="center"/>
            <w:hideMark/>
          </w:tcPr>
          <w:p w14:paraId="4834A0D5" w14:textId="77777777" w:rsidR="008A76F0" w:rsidRPr="008A76F0" w:rsidRDefault="008A76F0" w:rsidP="008A76F0">
            <w:pPr>
              <w:spacing w:before="240" w:after="240"/>
              <w:rPr>
                <w:lang w:val="en-US"/>
              </w:rPr>
            </w:pPr>
            <w:r w:rsidRPr="008A76F0">
              <w:rPr>
                <w:lang w:val="en-US"/>
              </w:rPr>
              <w:t>Moderate</w:t>
            </w:r>
          </w:p>
        </w:tc>
      </w:tr>
      <w:tr w:rsidR="008A76F0" w:rsidRPr="008A76F0" w14:paraId="3C5C904D" w14:textId="77777777" w:rsidTr="008A76F0">
        <w:trPr>
          <w:tblCellSpacing w:w="15" w:type="dxa"/>
        </w:trPr>
        <w:tc>
          <w:tcPr>
            <w:tcW w:w="0" w:type="auto"/>
            <w:vAlign w:val="center"/>
            <w:hideMark/>
          </w:tcPr>
          <w:p w14:paraId="091CDD22" w14:textId="77777777" w:rsidR="008A76F0" w:rsidRPr="008A76F0" w:rsidRDefault="008A76F0" w:rsidP="008A76F0">
            <w:pPr>
              <w:spacing w:before="240" w:after="240"/>
              <w:rPr>
                <w:lang w:val="en-US"/>
              </w:rPr>
            </w:pPr>
            <w:r w:rsidRPr="008A76F0">
              <w:rPr>
                <w:lang w:val="en-US"/>
              </w:rPr>
              <w:t>Ecological Disruption</w:t>
            </w:r>
          </w:p>
        </w:tc>
        <w:tc>
          <w:tcPr>
            <w:tcW w:w="0" w:type="auto"/>
            <w:vAlign w:val="center"/>
            <w:hideMark/>
          </w:tcPr>
          <w:p w14:paraId="335C228A" w14:textId="77777777" w:rsidR="008A76F0" w:rsidRPr="008A76F0" w:rsidRDefault="008A76F0" w:rsidP="008A76F0">
            <w:pPr>
              <w:spacing w:before="240" w:after="240"/>
              <w:rPr>
                <w:lang w:val="en-US"/>
              </w:rPr>
            </w:pPr>
            <w:r w:rsidRPr="008A76F0">
              <w:rPr>
                <w:lang w:val="en-US"/>
              </w:rPr>
              <w:t>Minimal</w:t>
            </w:r>
          </w:p>
        </w:tc>
        <w:tc>
          <w:tcPr>
            <w:tcW w:w="0" w:type="auto"/>
            <w:vAlign w:val="center"/>
            <w:hideMark/>
          </w:tcPr>
          <w:p w14:paraId="70A5E305" w14:textId="77777777" w:rsidR="008A76F0" w:rsidRPr="008A76F0" w:rsidRDefault="008A76F0" w:rsidP="008A76F0">
            <w:pPr>
              <w:spacing w:before="240" w:after="240"/>
              <w:rPr>
                <w:lang w:val="en-US"/>
              </w:rPr>
            </w:pPr>
            <w:r w:rsidRPr="008A76F0">
              <w:rPr>
                <w:lang w:val="en-US"/>
              </w:rPr>
              <w:t>Minimal</w:t>
            </w:r>
          </w:p>
        </w:tc>
        <w:tc>
          <w:tcPr>
            <w:tcW w:w="0" w:type="auto"/>
            <w:vAlign w:val="center"/>
            <w:hideMark/>
          </w:tcPr>
          <w:p w14:paraId="27031D52" w14:textId="77777777" w:rsidR="008A76F0" w:rsidRPr="008A76F0" w:rsidRDefault="008A76F0" w:rsidP="008A76F0">
            <w:pPr>
              <w:spacing w:before="240" w:after="240"/>
              <w:rPr>
                <w:lang w:val="en-US"/>
              </w:rPr>
            </w:pPr>
            <w:r w:rsidRPr="008A76F0">
              <w:rPr>
                <w:lang w:val="en-US"/>
              </w:rPr>
              <w:t>Moderate</w:t>
            </w:r>
          </w:p>
        </w:tc>
        <w:tc>
          <w:tcPr>
            <w:tcW w:w="0" w:type="auto"/>
            <w:vAlign w:val="center"/>
            <w:hideMark/>
          </w:tcPr>
          <w:p w14:paraId="3D8898D9" w14:textId="77777777" w:rsidR="008A76F0" w:rsidRPr="008A76F0" w:rsidRDefault="008A76F0" w:rsidP="008A76F0">
            <w:pPr>
              <w:spacing w:before="240" w:after="240"/>
              <w:rPr>
                <w:lang w:val="en-US"/>
              </w:rPr>
            </w:pPr>
            <w:r w:rsidRPr="008A76F0">
              <w:rPr>
                <w:lang w:val="en-US"/>
              </w:rPr>
              <w:t>High</w:t>
            </w:r>
          </w:p>
        </w:tc>
      </w:tr>
      <w:tr w:rsidR="008A76F0" w:rsidRPr="008A76F0" w14:paraId="44C1BD61" w14:textId="77777777" w:rsidTr="008A76F0">
        <w:trPr>
          <w:tblCellSpacing w:w="15" w:type="dxa"/>
        </w:trPr>
        <w:tc>
          <w:tcPr>
            <w:tcW w:w="0" w:type="auto"/>
            <w:vAlign w:val="center"/>
            <w:hideMark/>
          </w:tcPr>
          <w:p w14:paraId="4618C126" w14:textId="77777777" w:rsidR="008A76F0" w:rsidRPr="008A76F0" w:rsidRDefault="008A76F0" w:rsidP="008A76F0">
            <w:pPr>
              <w:spacing w:before="240" w:after="240"/>
              <w:rPr>
                <w:lang w:val="en-US"/>
              </w:rPr>
            </w:pPr>
            <w:r w:rsidRPr="008A76F0">
              <w:rPr>
                <w:lang w:val="en-US"/>
              </w:rPr>
              <w:t>Waste Generation</w:t>
            </w:r>
          </w:p>
        </w:tc>
        <w:tc>
          <w:tcPr>
            <w:tcW w:w="0" w:type="auto"/>
            <w:vAlign w:val="center"/>
            <w:hideMark/>
          </w:tcPr>
          <w:p w14:paraId="3EB6AD37" w14:textId="77777777" w:rsidR="008A76F0" w:rsidRPr="008A76F0" w:rsidRDefault="008A76F0" w:rsidP="008A76F0">
            <w:pPr>
              <w:spacing w:before="240" w:after="240"/>
              <w:rPr>
                <w:lang w:val="en-US"/>
              </w:rPr>
            </w:pPr>
            <w:r w:rsidRPr="008A76F0">
              <w:rPr>
                <w:lang w:val="en-US"/>
              </w:rPr>
              <w:t>None</w:t>
            </w:r>
          </w:p>
        </w:tc>
        <w:tc>
          <w:tcPr>
            <w:tcW w:w="0" w:type="auto"/>
            <w:vAlign w:val="center"/>
            <w:hideMark/>
          </w:tcPr>
          <w:p w14:paraId="011FEBBB" w14:textId="77777777" w:rsidR="008A76F0" w:rsidRPr="008A76F0" w:rsidRDefault="008A76F0" w:rsidP="008A76F0">
            <w:pPr>
              <w:spacing w:before="240" w:after="240"/>
              <w:rPr>
                <w:lang w:val="en-US"/>
              </w:rPr>
            </w:pPr>
            <w:r w:rsidRPr="008A76F0">
              <w:rPr>
                <w:lang w:val="en-US"/>
              </w:rPr>
              <w:t>Minimal</w:t>
            </w:r>
          </w:p>
        </w:tc>
        <w:tc>
          <w:tcPr>
            <w:tcW w:w="0" w:type="auto"/>
            <w:vAlign w:val="center"/>
            <w:hideMark/>
          </w:tcPr>
          <w:p w14:paraId="40A302C1" w14:textId="77777777" w:rsidR="008A76F0" w:rsidRPr="008A76F0" w:rsidRDefault="008A76F0" w:rsidP="008A76F0">
            <w:pPr>
              <w:spacing w:before="240" w:after="240"/>
              <w:rPr>
                <w:lang w:val="en-US"/>
              </w:rPr>
            </w:pPr>
            <w:r w:rsidRPr="008A76F0">
              <w:rPr>
                <w:lang w:val="en-US"/>
              </w:rPr>
              <w:t>Low</w:t>
            </w:r>
          </w:p>
        </w:tc>
        <w:tc>
          <w:tcPr>
            <w:tcW w:w="0" w:type="auto"/>
            <w:vAlign w:val="center"/>
            <w:hideMark/>
          </w:tcPr>
          <w:p w14:paraId="48AD8B31" w14:textId="77777777" w:rsidR="008A76F0" w:rsidRPr="008A76F0" w:rsidRDefault="008A76F0" w:rsidP="008A76F0">
            <w:pPr>
              <w:spacing w:before="240" w:after="240"/>
              <w:rPr>
                <w:lang w:val="en-US"/>
              </w:rPr>
            </w:pPr>
            <w:r w:rsidRPr="008A76F0">
              <w:rPr>
                <w:lang w:val="en-US"/>
              </w:rPr>
              <w:t>High</w:t>
            </w:r>
          </w:p>
        </w:tc>
      </w:tr>
      <w:tr w:rsidR="008A76F0" w:rsidRPr="008A76F0" w14:paraId="73410263" w14:textId="77777777" w:rsidTr="008A76F0">
        <w:trPr>
          <w:tblCellSpacing w:w="15" w:type="dxa"/>
        </w:trPr>
        <w:tc>
          <w:tcPr>
            <w:tcW w:w="0" w:type="auto"/>
            <w:vAlign w:val="center"/>
            <w:hideMark/>
          </w:tcPr>
          <w:p w14:paraId="578AFF43" w14:textId="77777777" w:rsidR="008A76F0" w:rsidRPr="008A76F0" w:rsidRDefault="008A76F0" w:rsidP="008A76F0">
            <w:pPr>
              <w:spacing w:before="240" w:after="240"/>
              <w:rPr>
                <w:lang w:val="en-US"/>
              </w:rPr>
            </w:pPr>
            <w:r w:rsidRPr="008A76F0">
              <w:rPr>
                <w:lang w:val="en-US"/>
              </w:rPr>
              <w:t>Human Safety</w:t>
            </w:r>
          </w:p>
        </w:tc>
        <w:tc>
          <w:tcPr>
            <w:tcW w:w="0" w:type="auto"/>
            <w:vAlign w:val="center"/>
            <w:hideMark/>
          </w:tcPr>
          <w:p w14:paraId="0A6FA30E" w14:textId="77777777" w:rsidR="008A76F0" w:rsidRPr="008A76F0" w:rsidRDefault="008A76F0" w:rsidP="008A76F0">
            <w:pPr>
              <w:spacing w:before="240" w:after="240"/>
              <w:rPr>
                <w:lang w:val="en-US"/>
              </w:rPr>
            </w:pPr>
            <w:r w:rsidRPr="008A76F0">
              <w:rPr>
                <w:lang w:val="en-US"/>
              </w:rPr>
              <w:t>Managed</w:t>
            </w:r>
          </w:p>
        </w:tc>
        <w:tc>
          <w:tcPr>
            <w:tcW w:w="0" w:type="auto"/>
            <w:vAlign w:val="center"/>
            <w:hideMark/>
          </w:tcPr>
          <w:p w14:paraId="77CF1145" w14:textId="77777777" w:rsidR="008A76F0" w:rsidRPr="008A76F0" w:rsidRDefault="008A76F0" w:rsidP="008A76F0">
            <w:pPr>
              <w:spacing w:before="240" w:after="240"/>
              <w:rPr>
                <w:lang w:val="en-US"/>
              </w:rPr>
            </w:pPr>
            <w:r w:rsidRPr="008A76F0">
              <w:rPr>
                <w:lang w:val="en-US"/>
              </w:rPr>
              <w:t>N/A</w:t>
            </w:r>
          </w:p>
        </w:tc>
        <w:tc>
          <w:tcPr>
            <w:tcW w:w="0" w:type="auto"/>
            <w:vAlign w:val="center"/>
            <w:hideMark/>
          </w:tcPr>
          <w:p w14:paraId="5DD68551" w14:textId="77777777" w:rsidR="008A76F0" w:rsidRPr="008A76F0" w:rsidRDefault="008A76F0" w:rsidP="008A76F0">
            <w:pPr>
              <w:spacing w:before="240" w:after="240"/>
              <w:rPr>
                <w:lang w:val="en-US"/>
              </w:rPr>
            </w:pPr>
            <w:r w:rsidRPr="008A76F0">
              <w:rPr>
                <w:lang w:val="en-US"/>
              </w:rPr>
              <w:t>N/A</w:t>
            </w:r>
          </w:p>
        </w:tc>
        <w:tc>
          <w:tcPr>
            <w:tcW w:w="0" w:type="auto"/>
            <w:vAlign w:val="center"/>
            <w:hideMark/>
          </w:tcPr>
          <w:p w14:paraId="09C55B02" w14:textId="77777777" w:rsidR="008A76F0" w:rsidRPr="008A76F0" w:rsidRDefault="008A76F0" w:rsidP="008A76F0">
            <w:pPr>
              <w:spacing w:before="240" w:after="240"/>
              <w:rPr>
                <w:lang w:val="en-US"/>
              </w:rPr>
            </w:pPr>
            <w:r w:rsidRPr="008A76F0">
              <w:rPr>
                <w:lang w:val="en-US"/>
              </w:rPr>
              <w:t>Pollution/accident</w:t>
            </w:r>
          </w:p>
        </w:tc>
      </w:tr>
    </w:tbl>
    <w:p w14:paraId="48616283" w14:textId="77777777" w:rsidR="008A76F0" w:rsidRPr="008A76F0" w:rsidRDefault="008A76F0" w:rsidP="008A76F0">
      <w:pPr>
        <w:spacing w:before="240" w:after="240"/>
        <w:rPr>
          <w:sz w:val="16"/>
          <w:szCs w:val="16"/>
          <w:lang w:val="en-US"/>
        </w:rPr>
      </w:pPr>
      <w:r w:rsidRPr="008A76F0">
        <w:rPr>
          <w:sz w:val="16"/>
          <w:szCs w:val="16"/>
          <w:lang w:val="en-US"/>
        </w:rPr>
        <w:t>Table 3. Comparative environmental and safety impacts of Lunar Solar Belt versus terrestrial energy systems.</w:t>
      </w:r>
    </w:p>
    <w:p w14:paraId="790C2A55" w14:textId="77777777" w:rsidR="008A76F0" w:rsidRPr="001338D8" w:rsidRDefault="008A76F0">
      <w:pPr>
        <w:spacing w:before="240" w:after="240"/>
      </w:pPr>
    </w:p>
    <w:p w14:paraId="000000A1" w14:textId="77777777" w:rsidR="006B7F5B" w:rsidRPr="001338D8" w:rsidRDefault="00000000">
      <w:pPr>
        <w:spacing w:before="240" w:after="240"/>
        <w:rPr>
          <w:b/>
        </w:rPr>
      </w:pPr>
      <w:r w:rsidRPr="001338D8">
        <w:rPr>
          <w:b/>
        </w:rPr>
        <w:t>6.2. Moon Environment Concerns</w:t>
      </w:r>
    </w:p>
    <w:p w14:paraId="000000A2" w14:textId="77777777" w:rsidR="006B7F5B" w:rsidRPr="001338D8" w:rsidRDefault="00000000">
      <w:pPr>
        <w:spacing w:before="240" w:after="240"/>
      </w:pPr>
      <w:r w:rsidRPr="001338D8">
        <w:t>Although the Moon has no biosphere, it is, nevertheless, a habitat of scientific, cultural, and strategic interest. The philosophy of space environmentalism includes conservation of surface features, minimizing danger from debris and prevention of contamination of scientifically important locales.</w:t>
      </w:r>
    </w:p>
    <w:p w14:paraId="000000A3" w14:textId="5E8DD79C" w:rsidR="006B7F5B" w:rsidRPr="001338D8" w:rsidRDefault="00000000">
      <w:pPr>
        <w:spacing w:before="240" w:after="240"/>
      </w:pPr>
      <w:r w:rsidRPr="001338D8">
        <w:t xml:space="preserve">Production of the LSB will therefore require large scale processing of lunar </w:t>
      </w:r>
      <w:r w:rsidR="000615C5" w:rsidRPr="001338D8">
        <w:t>registration</w:t>
      </w:r>
      <w:r w:rsidRPr="001338D8">
        <w:t>. While this mechanical activity does not create immediate negative impacts to ecosystems, overeager industry might alter local topography, create long-lasting dust clouds and damage heritage sites. Robotic mining swarms have to be confined to the non-polar regions of the equator — not in scientifically interesting craters or future habitation areas. Collections must be accompanied by digital terrain analysis, designs for protected areas, and waste management measures to prevent inadvertent geological disturbances.</w:t>
      </w:r>
    </w:p>
    <w:p w14:paraId="000000A4" w14:textId="77777777" w:rsidR="006B7F5B" w:rsidRPr="001338D8" w:rsidRDefault="00000000">
      <w:pPr>
        <w:spacing w:before="240" w:after="240"/>
      </w:pPr>
      <w:r w:rsidRPr="001338D8">
        <w:t>The generation of lunar dust, which is highly electrostatic and abrasive, poses a risk to vehicle and equipment longevity. Dust-mitigation strategies will involve dust suppression by regolith matting, thermal shielding and electrostatic dust barriers. Joints of equipment will be hermetic, the same instrument to be seal of the electromagnetic screen, in order to resist the effect on hard particles of polishing.</w:t>
      </w:r>
    </w:p>
    <w:p w14:paraId="000000A5" w14:textId="7864197F" w:rsidR="006B7F5B" w:rsidRPr="001338D8" w:rsidRDefault="00000000">
      <w:pPr>
        <w:spacing w:before="240" w:after="240"/>
      </w:pPr>
      <w:r w:rsidRPr="001338D8">
        <w:t xml:space="preserve">Furthermore, if the beam were to go out of alignment during </w:t>
      </w:r>
      <w:r w:rsidR="000615C5" w:rsidRPr="001338D8">
        <w:t>ground</w:t>
      </w:r>
      <w:r w:rsidRPr="001338D8">
        <w:t xml:space="preserve">-based energy transmission, the moon’s surface should not accidentally be overheated or eroded. Beam footprints and </w:t>
      </w:r>
      <w:r w:rsidRPr="001338D8">
        <w:lastRenderedPageBreak/>
        <w:t xml:space="preserve">angles will be programmed to steer clear of impact zones, and satellite-based beam control will use Earth-Moon-Earth echo </w:t>
      </w:r>
      <w:r w:rsidR="000615C5" w:rsidRPr="001338D8">
        <w:t>rang</w:t>
      </w:r>
      <w:r w:rsidRPr="001338D8">
        <w:t xml:space="preserve"> to avoid accidental mishaps on the lunar surface.</w:t>
      </w:r>
    </w:p>
    <w:p w14:paraId="000000A6" w14:textId="77777777" w:rsidR="006B7F5B" w:rsidRPr="001338D8" w:rsidRDefault="006B7F5B">
      <w:pPr>
        <w:spacing w:before="240" w:after="240"/>
      </w:pPr>
    </w:p>
    <w:p w14:paraId="000000A7" w14:textId="77777777" w:rsidR="006B7F5B" w:rsidRPr="001338D8" w:rsidRDefault="00000000">
      <w:pPr>
        <w:spacing w:before="240" w:after="240"/>
        <w:rPr>
          <w:b/>
        </w:rPr>
      </w:pPr>
      <w:r w:rsidRPr="001338D8">
        <w:rPr>
          <w:b/>
        </w:rPr>
        <w:t>6.3. Space Debris and Space Safety</w:t>
      </w:r>
    </w:p>
    <w:p w14:paraId="000000A8" w14:textId="4910BA56" w:rsidR="006B7F5B" w:rsidRPr="001338D8" w:rsidRDefault="00000000">
      <w:pPr>
        <w:spacing w:before="240" w:after="240"/>
      </w:pPr>
      <w:r w:rsidRPr="001338D8">
        <w:t xml:space="preserve">The orbital relay satellites of the LSB, although necessary for its transmission of power, also contribute to the crowding of near-Earth orbit. Space debris is becoming increasingly dangerous, and each new object placed into GEO carries with it the potential for catastrophe. To </w:t>
      </w:r>
      <w:r w:rsidR="000615C5" w:rsidRPr="001338D8">
        <w:t>cope</w:t>
      </w:r>
      <w:r w:rsidRPr="001338D8">
        <w:t xml:space="preserve"> with it, relay satellites will be installed with active debris avoidance systems and long-duration station-keeping capabilities.</w:t>
      </w:r>
    </w:p>
    <w:p w14:paraId="000000A9" w14:textId="77777777" w:rsidR="006B7F5B" w:rsidRPr="001338D8" w:rsidRDefault="00000000">
      <w:pPr>
        <w:spacing w:before="240" w:after="240"/>
      </w:pPr>
      <w:r w:rsidRPr="001338D8">
        <w:t>All satellites will be catalogued under international space traffic treaties and equipped with autonomous software to prevent collisions. De-orbiting or graveyard orbits in disposal orbits will be required by end-of-life guidelines. CloakSpace collaborates with international SSA networks to support open surveillance.</w:t>
      </w:r>
    </w:p>
    <w:p w14:paraId="000000AA" w14:textId="77777777" w:rsidR="006B7F5B" w:rsidRPr="001338D8" w:rsidRDefault="00000000">
      <w:pPr>
        <w:spacing w:before="240" w:after="240"/>
      </w:pPr>
      <w:r w:rsidRPr="001338D8">
        <w:t>To minimize risk, LSB relay satellites could even be multi-functional, engaging in data relay, communications, or early warning sensing. These are the type of multi-service satellites that can allow for joint launch cost justification and minimize duplication of satellites in orbit.</w:t>
      </w:r>
    </w:p>
    <w:p w14:paraId="000000AB" w14:textId="77777777" w:rsidR="006B7F5B" w:rsidRPr="001338D8" w:rsidRDefault="00000000">
      <w:pPr>
        <w:spacing w:before="240" w:after="240"/>
        <w:rPr>
          <w:b/>
        </w:rPr>
      </w:pPr>
      <w:r w:rsidRPr="001338D8">
        <w:rPr>
          <w:b/>
        </w:rPr>
        <w:t>6.4. Ethical and Equity Impacts</w:t>
      </w:r>
    </w:p>
    <w:p w14:paraId="000000AC" w14:textId="52793E64" w:rsidR="006B7F5B" w:rsidRPr="001338D8" w:rsidRDefault="00000000">
      <w:pPr>
        <w:spacing w:before="240" w:after="240"/>
      </w:pPr>
      <w:r w:rsidRPr="001338D8">
        <w:t xml:space="preserve">The LSB also raises crucial ethical questions— who is benefiting from the energy it provides and how are potential ecological costs, even if minimal, </w:t>
      </w:r>
      <w:r w:rsidR="000615C5" w:rsidRPr="001338D8">
        <w:t>just</w:t>
      </w:r>
      <w:r w:rsidRPr="001338D8">
        <w:t xml:space="preserve"> spread out? By failing to govern inclusively, rectenna </w:t>
      </w:r>
      <w:r w:rsidR="000615C5" w:rsidRPr="001338D8">
        <w:t>sitting</w:t>
      </w:r>
      <w:r w:rsidRPr="001338D8">
        <w:t xml:space="preserve"> and lunar development have the potential to mirror the logic of terrestrial resource conflicts.</w:t>
      </w:r>
    </w:p>
    <w:p w14:paraId="000000AD" w14:textId="1B8FB36F" w:rsidR="006B7F5B" w:rsidRPr="001338D8" w:rsidRDefault="00000000">
      <w:pPr>
        <w:spacing w:before="240" w:after="240"/>
      </w:pPr>
      <w:r w:rsidRPr="001338D8">
        <w:t xml:space="preserve">To solve this problem, the EM-EA recommends an Earth-Moon Environmental Code. It would create space "heritage zones," </w:t>
      </w:r>
      <w:r w:rsidR="000615C5" w:rsidRPr="001338D8">
        <w:t>spell</w:t>
      </w:r>
      <w:r w:rsidRPr="001338D8">
        <w:t xml:space="preserve"> out which areas of the moon could and could not be developed, protect scientific artifacts and provide for an international system of environmental auditing and independent review. Earthbound settlements affected by rectenna construction would be assured recompense, community participation in site selection, and access to the generated power.</w:t>
      </w:r>
    </w:p>
    <w:p w14:paraId="000000AE" w14:textId="6F7B1804" w:rsidR="006B7F5B" w:rsidRDefault="00000000">
      <w:pPr>
        <w:spacing w:before="240" w:after="240"/>
      </w:pPr>
      <w:r w:rsidRPr="001338D8">
        <w:t xml:space="preserve">The former phrase, environmental justice, is interpreted by the LSB within this context to include a requirement that the Global South should receive its equitable share of the LSB’s output. Targeting sites in the underserved regions and providing the climate-vulnerable countries with subsidized </w:t>
      </w:r>
      <w:r w:rsidR="000615C5" w:rsidRPr="001338D8">
        <w:t>use</w:t>
      </w:r>
      <w:r w:rsidRPr="001338D8">
        <w:t xml:space="preserve"> will </w:t>
      </w:r>
      <w:r w:rsidR="000615C5" w:rsidRPr="001338D8">
        <w:t>support</w:t>
      </w:r>
      <w:r w:rsidRPr="001338D8">
        <w:t xml:space="preserve"> international commitment toward bridging the energy divide and making the LSB a genuine global public good.</w:t>
      </w:r>
    </w:p>
    <w:p w14:paraId="2836AE7A" w14:textId="5D6883D6" w:rsidR="00E426B2" w:rsidRPr="00E426B2" w:rsidRDefault="00E426B2" w:rsidP="00E426B2">
      <w:pPr>
        <w:spacing w:before="240" w:after="240"/>
        <w:rPr>
          <w:lang w:val="en-US"/>
        </w:rPr>
      </w:pPr>
      <w:r w:rsidRPr="00E426B2">
        <w:rPr>
          <w:noProof/>
          <w:lang w:val="en-US"/>
        </w:rPr>
        <w:lastRenderedPageBreak/>
        <w:drawing>
          <wp:inline distT="0" distB="0" distL="0" distR="0" wp14:anchorId="261C56B2" wp14:editId="33F67AD5">
            <wp:extent cx="5943600" cy="2509520"/>
            <wp:effectExtent l="0" t="0" r="0" b="5080"/>
            <wp:docPr id="364564958" name="Picture 12" descr="A chart of solar energ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64958" name="Picture 12" descr="A chart of solar energy&#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509520"/>
                    </a:xfrm>
                    <a:prstGeom prst="rect">
                      <a:avLst/>
                    </a:prstGeom>
                    <a:noFill/>
                    <a:ln>
                      <a:noFill/>
                    </a:ln>
                  </pic:spPr>
                </pic:pic>
              </a:graphicData>
            </a:graphic>
          </wp:inline>
        </w:drawing>
      </w:r>
    </w:p>
    <w:p w14:paraId="78F0C4B2" w14:textId="77777777" w:rsidR="00E426B2" w:rsidRPr="001338D8" w:rsidRDefault="00E426B2">
      <w:pPr>
        <w:spacing w:before="240" w:after="240"/>
      </w:pPr>
    </w:p>
    <w:p w14:paraId="000000AF" w14:textId="77777777" w:rsidR="006B7F5B" w:rsidRPr="001338D8" w:rsidRDefault="006B7F5B">
      <w:pPr>
        <w:spacing w:before="240" w:after="240"/>
      </w:pPr>
    </w:p>
    <w:p w14:paraId="000000B0" w14:textId="77777777" w:rsidR="006B7F5B" w:rsidRPr="001338D8" w:rsidRDefault="00000000">
      <w:pPr>
        <w:rPr>
          <w:b/>
        </w:rPr>
      </w:pPr>
      <w:r w:rsidRPr="001338D8">
        <w:rPr>
          <w:b/>
        </w:rPr>
        <w:t>7. Policy, Governance, and Diplomacy</w:t>
      </w:r>
    </w:p>
    <w:p w14:paraId="000000B1" w14:textId="77777777" w:rsidR="006B7F5B" w:rsidRPr="001338D8" w:rsidRDefault="006B7F5B">
      <w:pPr>
        <w:rPr>
          <w:b/>
        </w:rPr>
      </w:pPr>
    </w:p>
    <w:p w14:paraId="000000B2" w14:textId="4360F381" w:rsidR="006B7F5B" w:rsidRPr="001338D8" w:rsidRDefault="00000000">
      <w:r w:rsidRPr="001338D8">
        <w:t xml:space="preserve">As the Lunar Solar Belt (LSB) is not only a technical revolution but also a frontier of policies. The helical rail gun is a vein that penetrates through international space law, energy sovereignty, military technology regulation, and environmental governance. Without strong legal parameters and diplomatic </w:t>
      </w:r>
      <w:r w:rsidR="000615C5" w:rsidRPr="001338D8">
        <w:t>teamwork,</w:t>
      </w:r>
      <w:r w:rsidRPr="001338D8">
        <w:t xml:space="preserve"> the LSB will be prone to trigger geopolitical tensions and to perpetuate disparities in access to the benefits of space. As such, for the LSB to become a driver for cooperation rather than competing and copying each other, a proactive multilateral governance structure is needed.</w:t>
      </w:r>
    </w:p>
    <w:p w14:paraId="000000B3" w14:textId="77777777" w:rsidR="006B7F5B" w:rsidRPr="001338D8" w:rsidRDefault="006B7F5B"/>
    <w:p w14:paraId="000000B4" w14:textId="77777777" w:rsidR="006B7F5B" w:rsidRPr="001338D8" w:rsidRDefault="00000000">
      <w:pPr>
        <w:rPr>
          <w:b/>
        </w:rPr>
      </w:pPr>
      <w:r w:rsidRPr="001338D8">
        <w:rPr>
          <w:b/>
        </w:rPr>
        <w:t xml:space="preserve">7.1. Legal Background: </w:t>
      </w:r>
    </w:p>
    <w:p w14:paraId="000000B5" w14:textId="77777777" w:rsidR="006B7F5B" w:rsidRPr="001338D8" w:rsidRDefault="00000000">
      <w:r w:rsidRPr="001338D8">
        <w:t>The OST and the “Holes” The foundation of space law is the OST.</w:t>
      </w:r>
    </w:p>
    <w:p w14:paraId="000000B6" w14:textId="260A5EB7" w:rsidR="006B7F5B" w:rsidRPr="001338D8" w:rsidRDefault="00000000">
      <w:r w:rsidRPr="001338D8">
        <w:t xml:space="preserve">Outer Space Treaty (OST) of 1967 is the restrict legal framework regulating space. It bans national claims to celestial bodies and dictates that outer space is to be used peacefully. But it </w:t>
      </w:r>
      <w:r w:rsidR="000615C5" w:rsidRPr="001338D8">
        <w:t>does not</w:t>
      </w:r>
      <w:r w:rsidRPr="001338D8">
        <w:t xml:space="preserve"> necessarily pertain to the harvesting of resources, building infrastructure or transmitting energy from space. This vagueness leaves it open to varying interpretations.</w:t>
      </w:r>
    </w:p>
    <w:p w14:paraId="000000B7" w14:textId="77777777" w:rsidR="006B7F5B" w:rsidRPr="001338D8" w:rsidRDefault="006B7F5B"/>
    <w:p w14:paraId="000000B8" w14:textId="4CFA04ED" w:rsidR="006B7F5B" w:rsidRPr="001338D8" w:rsidRDefault="00000000">
      <w:r w:rsidRPr="001338D8">
        <w:t xml:space="preserve">Some countries claim that resource exploitation is allowed under the “freedom of exploration” exception, but others believe </w:t>
      </w:r>
      <w:r w:rsidR="000615C5" w:rsidRPr="001338D8">
        <w:t>commercialization</w:t>
      </w:r>
      <w:r w:rsidRPr="001338D8">
        <w:t xml:space="preserve"> would go against the sense of non-appropriation. The LSB is solidly a creature of this legal twilight zone, as it is premised on regolith exploitation and orbital resource placement.</w:t>
      </w:r>
    </w:p>
    <w:p w14:paraId="000000B9" w14:textId="77777777" w:rsidR="006B7F5B" w:rsidRPr="001338D8" w:rsidRDefault="006B7F5B"/>
    <w:p w14:paraId="000000BA" w14:textId="77777777" w:rsidR="006B7F5B" w:rsidRPr="001338D8" w:rsidRDefault="00000000">
      <w:pPr>
        <w:rPr>
          <w:b/>
        </w:rPr>
      </w:pPr>
      <w:r w:rsidRPr="001338D8">
        <w:rPr>
          <w:b/>
        </w:rPr>
        <w:t>7.2. Energy Accord (with the Earth-Moon: EMA)</w:t>
      </w:r>
    </w:p>
    <w:p w14:paraId="000000BB" w14:textId="019A49F1" w:rsidR="006B7F5B" w:rsidRPr="001338D8" w:rsidRDefault="00000000">
      <w:r w:rsidRPr="001338D8">
        <w:t>To address this regulatory vacuum, the Article recommends the establishment of an Earth-Moon Energy Accord (</w:t>
      </w:r>
      <w:r w:rsidR="000615C5" w:rsidRPr="001338D8">
        <w:t>EMEA)</w:t>
      </w:r>
      <w:r w:rsidRPr="001338D8">
        <w:t xml:space="preserve">a multilateral agreement specifically designed to govern space-based </w:t>
      </w:r>
      <w:r w:rsidRPr="001338D8">
        <w:lastRenderedPageBreak/>
        <w:t>energy systems. Countries and private sector entities would, through EMEA, commit themselves to:</w:t>
      </w:r>
    </w:p>
    <w:p w14:paraId="000000BC" w14:textId="77777777" w:rsidR="006B7F5B" w:rsidRPr="001338D8" w:rsidRDefault="006B7F5B"/>
    <w:p w14:paraId="000000BD" w14:textId="793DF1CD" w:rsidR="006B7F5B" w:rsidRPr="001338D8" w:rsidRDefault="000615C5" w:rsidP="000615C5">
      <w:pPr>
        <w:pStyle w:val="ListParagraph"/>
        <w:numPr>
          <w:ilvl w:val="0"/>
          <w:numId w:val="8"/>
        </w:numPr>
      </w:pPr>
      <w:r w:rsidRPr="001338D8">
        <w:t>Enroll in lunar and orbital power systems through an open, international organization.</w:t>
      </w:r>
    </w:p>
    <w:p w14:paraId="000000BE" w14:textId="77777777" w:rsidR="006B7F5B" w:rsidRPr="001338D8" w:rsidRDefault="006B7F5B"/>
    <w:p w14:paraId="000000BF" w14:textId="77777777" w:rsidR="006B7F5B" w:rsidRPr="001338D8" w:rsidRDefault="00000000" w:rsidP="000615C5">
      <w:pPr>
        <w:pStyle w:val="ListParagraph"/>
        <w:numPr>
          <w:ilvl w:val="0"/>
          <w:numId w:val="8"/>
        </w:numPr>
      </w:pPr>
      <w:r w:rsidRPr="001338D8">
        <w:t>Sharing of energy data, frequency band and orbital location.</w:t>
      </w:r>
    </w:p>
    <w:p w14:paraId="000000C0" w14:textId="77777777" w:rsidR="006B7F5B" w:rsidRPr="001338D8" w:rsidRDefault="006B7F5B"/>
    <w:p w14:paraId="000000C1" w14:textId="77777777" w:rsidR="006B7F5B" w:rsidRPr="001338D8" w:rsidRDefault="00000000" w:rsidP="000615C5">
      <w:pPr>
        <w:pStyle w:val="ListParagraph"/>
        <w:numPr>
          <w:ilvl w:val="0"/>
          <w:numId w:val="8"/>
        </w:numPr>
      </w:pPr>
      <w:r w:rsidRPr="001338D8">
        <w:t>Develop rules of non-intervention and methods of conflict negotiation.</w:t>
      </w:r>
    </w:p>
    <w:p w14:paraId="000000C2" w14:textId="77777777" w:rsidR="006B7F5B" w:rsidRPr="001338D8" w:rsidRDefault="006B7F5B"/>
    <w:p w14:paraId="000000C3" w14:textId="77777777" w:rsidR="006B7F5B" w:rsidRPr="001338D8" w:rsidRDefault="00000000" w:rsidP="000615C5">
      <w:pPr>
        <w:pStyle w:val="ListParagraph"/>
        <w:numPr>
          <w:ilvl w:val="0"/>
          <w:numId w:val="8"/>
        </w:numPr>
      </w:pPr>
      <w:r w:rsidRPr="001338D8">
        <w:t>Establishing environmental policy for lunar development and siting of Earth-based rectennas.</w:t>
      </w:r>
    </w:p>
    <w:p w14:paraId="000000C4" w14:textId="77777777" w:rsidR="006B7F5B" w:rsidRPr="001338D8" w:rsidRDefault="006B7F5B"/>
    <w:p w14:paraId="000000C5" w14:textId="67AA19FD" w:rsidR="006B7F5B" w:rsidRPr="001338D8" w:rsidRDefault="00000000" w:rsidP="000615C5">
      <w:pPr>
        <w:pStyle w:val="ListParagraph"/>
        <w:numPr>
          <w:ilvl w:val="0"/>
          <w:numId w:val="8"/>
        </w:numPr>
      </w:pPr>
      <w:r w:rsidRPr="001338D8">
        <w:t xml:space="preserve">Define fair sharing principles, especially for the </w:t>
      </w:r>
      <w:r w:rsidR="000615C5" w:rsidRPr="001338D8">
        <w:t xml:space="preserve">non-space- </w:t>
      </w:r>
      <w:r w:rsidRPr="001338D8">
        <w:t>faring countries.</w:t>
      </w:r>
    </w:p>
    <w:p w14:paraId="000000C6" w14:textId="77777777" w:rsidR="006B7F5B" w:rsidRPr="001338D8" w:rsidRDefault="006B7F5B"/>
    <w:p w14:paraId="000000C7" w14:textId="77777777" w:rsidR="006B7F5B" w:rsidRPr="001338D8" w:rsidRDefault="00000000">
      <w:r w:rsidRPr="001338D8">
        <w:t>EMEA would be based on the United Nations Committee on the Peaceful Uses of Outer Space (COPUOS) and leverage ongoing space traffic management practices. Its purpose would be to prevent a “lunar land rush” and see that lunar energy serves the general good of humanity.</w:t>
      </w:r>
    </w:p>
    <w:p w14:paraId="000000C8" w14:textId="77777777" w:rsidR="006B7F5B" w:rsidRPr="001338D8" w:rsidRDefault="006B7F5B"/>
    <w:p w14:paraId="000000C9" w14:textId="77777777" w:rsidR="006B7F5B" w:rsidRPr="001338D8" w:rsidRDefault="00000000">
      <w:pPr>
        <w:rPr>
          <w:b/>
        </w:rPr>
      </w:pPr>
      <w:r w:rsidRPr="001338D8">
        <w:rPr>
          <w:b/>
        </w:rPr>
        <w:t>7.3. Geopolitical and Strategic Factors</w:t>
      </w:r>
    </w:p>
    <w:p w14:paraId="000000CA" w14:textId="297BA540" w:rsidR="006B7F5B" w:rsidRPr="001338D8" w:rsidRDefault="00000000">
      <w:r w:rsidRPr="001338D8">
        <w:t xml:space="preserve">The dual-use nature of SBSP, being both a civilian power and directed energy system, requires confidence-building measures. System architecture needs to incorporate transparency in design, telemetry, and power limits. System compliance and cases of discrepancy should be verifiable and studied by third party international monitoring systems, which may be based on, for example, existing arms control </w:t>
      </w:r>
      <w:r w:rsidR="000615C5" w:rsidRPr="001338D8">
        <w:t>organizations</w:t>
      </w:r>
      <w:r w:rsidRPr="001338D8">
        <w:t>.</w:t>
      </w:r>
    </w:p>
    <w:p w14:paraId="000000CB" w14:textId="77777777" w:rsidR="006B7F5B" w:rsidRPr="001338D8" w:rsidRDefault="006B7F5B"/>
    <w:p w14:paraId="000000CC" w14:textId="3B928D29" w:rsidR="006B7F5B" w:rsidRPr="001338D8" w:rsidRDefault="00000000">
      <w:r w:rsidRPr="001338D8">
        <w:t xml:space="preserve">To make sure that these do not become future flashpoints, there needs to be more emphasis on </w:t>
      </w:r>
      <w:r w:rsidR="000615C5" w:rsidRPr="001338D8">
        <w:t>incentivizing</w:t>
      </w:r>
      <w:r w:rsidRPr="001338D8">
        <w:t xml:space="preserve"> cooperation, by creating joint ventures, common infrastructure and technology transfer. The LSB can be a banner project for space diplomacy, bringing together spacefaring and energy-poor countries under the shared goal of sustainability.</w:t>
      </w:r>
    </w:p>
    <w:p w14:paraId="000000CD" w14:textId="77777777" w:rsidR="006B7F5B" w:rsidRPr="001338D8" w:rsidRDefault="006B7F5B"/>
    <w:p w14:paraId="000000CE" w14:textId="19E93010" w:rsidR="006B7F5B" w:rsidRPr="001338D8" w:rsidRDefault="00000000">
      <w:r w:rsidRPr="001338D8">
        <w:t xml:space="preserve">In short, we need to update our technology regulative arrangements. The LSB is a chance to be </w:t>
      </w:r>
      <w:r w:rsidR="000615C5" w:rsidRPr="001338D8">
        <w:t>a sectorial</w:t>
      </w:r>
      <w:r w:rsidRPr="001338D8">
        <w:t xml:space="preserve"> pioneer for cooperation, transparency and ethics in space governance. If managed properly, it has the potential to be a beacon of post-carbon global solidarity and peaceful spacefaring advancement instead.</w:t>
      </w:r>
    </w:p>
    <w:p w14:paraId="000000CF" w14:textId="77777777" w:rsidR="006B7F5B" w:rsidRPr="001338D8" w:rsidRDefault="00000000">
      <w:pPr>
        <w:rPr>
          <w:b/>
        </w:rPr>
      </w:pPr>
      <w:r w:rsidRPr="001338D8">
        <w:rPr>
          <w:b/>
        </w:rPr>
        <w:br/>
      </w:r>
    </w:p>
    <w:p w14:paraId="000000D0" w14:textId="77777777" w:rsidR="006B7F5B" w:rsidRPr="001338D8" w:rsidRDefault="00000000">
      <w:pPr>
        <w:rPr>
          <w:b/>
        </w:rPr>
      </w:pPr>
      <w:r w:rsidRPr="001338D8">
        <w:rPr>
          <w:b/>
        </w:rPr>
        <w:t>8. Risk Analysis and Contingency Planning</w:t>
      </w:r>
      <w:r w:rsidRPr="001338D8">
        <w:rPr>
          <w:b/>
        </w:rPr>
        <w:br/>
      </w:r>
    </w:p>
    <w:p w14:paraId="0D564275" w14:textId="4AA17320" w:rsidR="00D74A2B" w:rsidRPr="00D74A2B" w:rsidRDefault="00D74A2B" w:rsidP="00D74A2B">
      <w:pPr>
        <w:rPr>
          <w:b/>
          <w:lang w:val="en-US"/>
        </w:rPr>
      </w:pPr>
      <w:r w:rsidRPr="00D74A2B">
        <w:rPr>
          <w:b/>
          <w:noProof/>
          <w:lang w:val="en-US"/>
        </w:rPr>
        <w:lastRenderedPageBreak/>
        <w:drawing>
          <wp:inline distT="0" distB="0" distL="0" distR="0" wp14:anchorId="685E8662" wp14:editId="00B0A67B">
            <wp:extent cx="5943600" cy="3566160"/>
            <wp:effectExtent l="0" t="0" r="0" b="0"/>
            <wp:docPr id="1214943900" name="Picture 18" descr="A graph with different colored squar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943900" name="Picture 18" descr="A graph with different colored squares and a circle&#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566160"/>
                    </a:xfrm>
                    <a:prstGeom prst="rect">
                      <a:avLst/>
                    </a:prstGeom>
                    <a:noFill/>
                    <a:ln>
                      <a:noFill/>
                    </a:ln>
                  </pic:spPr>
                </pic:pic>
              </a:graphicData>
            </a:graphic>
          </wp:inline>
        </w:drawing>
      </w:r>
    </w:p>
    <w:p w14:paraId="000000D1" w14:textId="77777777" w:rsidR="006B7F5B" w:rsidRPr="001338D8" w:rsidRDefault="006B7F5B">
      <w:pPr>
        <w:rPr>
          <w:b/>
        </w:rPr>
      </w:pPr>
    </w:p>
    <w:p w14:paraId="000000D2" w14:textId="3809D3DB" w:rsidR="006B7F5B" w:rsidRPr="001338D8" w:rsidRDefault="00000000">
      <w:r w:rsidRPr="001338D8">
        <w:t xml:space="preserve">The Lunar Solar Belt (LSB) is a project so bold and vast that it needs to be viewed through the prism of risk management. There are both technical, financial, environmental, and </w:t>
      </w:r>
      <w:r w:rsidR="000615C5" w:rsidRPr="001338D8">
        <w:t>geopolitical</w:t>
      </w:r>
      <w:r w:rsidRPr="001338D8">
        <w:t xml:space="preserve"> risks that might strongly affect the deployment timescales, cost structures or international confidence. To support the </w:t>
      </w:r>
      <w:r w:rsidR="000615C5" w:rsidRPr="001338D8">
        <w:t>future proof</w:t>
      </w:r>
      <w:r w:rsidRPr="001338D8">
        <w:t xml:space="preserve"> of the project, this </w:t>
      </w:r>
      <w:r w:rsidR="000615C5" w:rsidRPr="001338D8">
        <w:t>section has</w:t>
      </w:r>
      <w:r w:rsidRPr="001338D8">
        <w:t xml:space="preserve"> the biggest risk areas and ways to mitigate and contingency plan for them.</w:t>
      </w:r>
    </w:p>
    <w:p w14:paraId="000000D3" w14:textId="77777777" w:rsidR="006B7F5B" w:rsidRPr="001338D8" w:rsidRDefault="006B7F5B"/>
    <w:p w14:paraId="000000D4" w14:textId="77777777" w:rsidR="006B7F5B" w:rsidRPr="001338D8" w:rsidRDefault="00000000">
      <w:pPr>
        <w:rPr>
          <w:b/>
        </w:rPr>
      </w:pPr>
      <w:r w:rsidRPr="001338D8">
        <w:rPr>
          <w:b/>
        </w:rPr>
        <w:t>8.1. Technical Risks</w:t>
      </w:r>
    </w:p>
    <w:p w14:paraId="000000D5" w14:textId="77777777" w:rsidR="006B7F5B" w:rsidRPr="001338D8" w:rsidRDefault="00000000">
      <w:r w:rsidRPr="001338D8">
        <w:t>The high technical risk of combining autonomous robotics, in-situ manufacturing, power beaming, and orbital logistics creates multiple opportunities for failure. Specific risks include:</w:t>
      </w:r>
    </w:p>
    <w:p w14:paraId="000000D6" w14:textId="77777777" w:rsidR="006B7F5B" w:rsidRPr="001338D8" w:rsidRDefault="006B7F5B"/>
    <w:p w14:paraId="000000D7" w14:textId="77777777" w:rsidR="006B7F5B" w:rsidRPr="001338D8" w:rsidRDefault="00000000">
      <w:r w:rsidRPr="001338D8">
        <w:t>ISRU Hurdle: Regolith processing systems malfunctions of deteriorations may adversely affect the photovoltaic substrates and the building materials supply. Mitigation: Two ISRU systems should be sent to the surface and backup launch capacity maintained on Earth.</w:t>
      </w:r>
    </w:p>
    <w:p w14:paraId="000000D8" w14:textId="77777777" w:rsidR="006B7F5B" w:rsidRPr="001338D8" w:rsidRDefault="006B7F5B"/>
    <w:p w14:paraId="000000D9" w14:textId="266B322F" w:rsidR="006B7F5B" w:rsidRPr="001338D8" w:rsidRDefault="00000000">
      <w:r w:rsidRPr="001338D8">
        <w:t xml:space="preserve">Broken Autonomous Robotics: Dust, general wear and </w:t>
      </w:r>
      <w:r w:rsidR="000615C5" w:rsidRPr="001338D8">
        <w:t>tears</w:t>
      </w:r>
      <w:r w:rsidRPr="001338D8">
        <w:t xml:space="preserve"> or simple software bugs could stop large swarms of construction </w:t>
      </w:r>
      <w:r w:rsidR="000615C5" w:rsidRPr="001338D8">
        <w:t>bodies</w:t>
      </w:r>
      <w:r w:rsidRPr="001338D8">
        <w:t xml:space="preserve"> from working. Mitigation: modular robot architecture with hot swapping capabilities, system-level diagnostics, and redundancy at the level of commands.</w:t>
      </w:r>
    </w:p>
    <w:p w14:paraId="000000DA" w14:textId="77777777" w:rsidR="006B7F5B" w:rsidRPr="001338D8" w:rsidRDefault="006B7F5B"/>
    <w:p w14:paraId="000000DB" w14:textId="77777777" w:rsidR="006B7F5B" w:rsidRPr="001338D8" w:rsidRDefault="00000000">
      <w:r w:rsidRPr="001338D8">
        <w:t>Misaligned Microwave Beam: Misalignment of the beam could result in loss of service or a safety hazard. Mitigation: Beam tracking systems in real time, geofencing, and multilayer terminate protocols for lunar transmitters and ground receivers.</w:t>
      </w:r>
    </w:p>
    <w:p w14:paraId="000000DC" w14:textId="77777777" w:rsidR="006B7F5B" w:rsidRPr="001338D8" w:rsidRDefault="006B7F5B"/>
    <w:p w14:paraId="000000DD" w14:textId="77777777" w:rsidR="006B7F5B" w:rsidRPr="001338D8" w:rsidRDefault="00000000">
      <w:pPr>
        <w:rPr>
          <w:b/>
        </w:rPr>
      </w:pPr>
      <w:r w:rsidRPr="001338D8">
        <w:rPr>
          <w:b/>
        </w:rPr>
        <w:t>8.2. Financial Risks</w:t>
      </w:r>
    </w:p>
    <w:p w14:paraId="000000DE" w14:textId="345A2E30" w:rsidR="006B7F5B" w:rsidRPr="001338D8" w:rsidRDefault="00000000">
      <w:r w:rsidRPr="001338D8">
        <w:lastRenderedPageBreak/>
        <w:t xml:space="preserve">Launch, equipment, and installation IPO capital would increase, possibly as a result of </w:t>
      </w:r>
      <w:r w:rsidR="000615C5" w:rsidRPr="001338D8">
        <w:t>delays</w:t>
      </w:r>
      <w:r w:rsidRPr="001338D8">
        <w:t>, unsuccessful launches or inflation. Revenue assumptions can also change along with international energy prices or carbon markets.</w:t>
      </w:r>
    </w:p>
    <w:p w14:paraId="000000DF" w14:textId="77777777" w:rsidR="006B7F5B" w:rsidRPr="001338D8" w:rsidRDefault="006B7F5B"/>
    <w:p w14:paraId="000000E0" w14:textId="77777777" w:rsidR="006B7F5B" w:rsidRPr="001338D8" w:rsidRDefault="00000000">
      <w:r w:rsidRPr="001338D8">
        <w:t>Strategies to reduce risk Factors that can contribute to weight stigma and are possibly modifiable include:</w:t>
      </w:r>
    </w:p>
    <w:p w14:paraId="000000E1" w14:textId="77777777" w:rsidR="006B7F5B" w:rsidRPr="001338D8" w:rsidRDefault="006B7F5B"/>
    <w:p w14:paraId="000000E2" w14:textId="77777777" w:rsidR="006B7F5B" w:rsidRPr="001338D8" w:rsidRDefault="00000000" w:rsidP="000615C5">
      <w:pPr>
        <w:pStyle w:val="ListParagraph"/>
        <w:numPr>
          <w:ilvl w:val="0"/>
          <w:numId w:val="9"/>
        </w:numPr>
      </w:pPr>
      <w:r w:rsidRPr="001338D8">
        <w:t>Cycled investment and development to reduce risk.</w:t>
      </w:r>
    </w:p>
    <w:p w14:paraId="000000E3" w14:textId="77777777" w:rsidR="006B7F5B" w:rsidRPr="001338D8" w:rsidRDefault="006B7F5B"/>
    <w:p w14:paraId="000000E4" w14:textId="77777777" w:rsidR="006B7F5B" w:rsidRPr="001338D8" w:rsidRDefault="00000000" w:rsidP="000615C5">
      <w:pPr>
        <w:pStyle w:val="ListParagraph"/>
        <w:numPr>
          <w:ilvl w:val="0"/>
          <w:numId w:val="9"/>
        </w:numPr>
      </w:pPr>
      <w:r w:rsidRPr="001338D8">
        <w:t>Leverage of private-public partnerships (PPPs) and multilateral sources of funding.</w:t>
      </w:r>
    </w:p>
    <w:p w14:paraId="000000E5" w14:textId="77777777" w:rsidR="006B7F5B" w:rsidRPr="001338D8" w:rsidRDefault="006B7F5B"/>
    <w:p w14:paraId="000000E6" w14:textId="77777777" w:rsidR="006B7F5B" w:rsidRPr="001338D8" w:rsidRDefault="00000000" w:rsidP="000615C5">
      <w:pPr>
        <w:pStyle w:val="ListParagraph"/>
        <w:numPr>
          <w:ilvl w:val="0"/>
          <w:numId w:val="9"/>
        </w:numPr>
      </w:pPr>
      <w:r w:rsidRPr="001338D8">
        <w:t>Insurance coverage for critical points in the system (launch, relay satellite deployment, ISRU commencement).</w:t>
      </w:r>
    </w:p>
    <w:p w14:paraId="000000E7" w14:textId="77777777" w:rsidR="006B7F5B" w:rsidRPr="001338D8" w:rsidRDefault="006B7F5B"/>
    <w:p w14:paraId="000000E8" w14:textId="77777777" w:rsidR="006B7F5B" w:rsidRPr="001338D8" w:rsidRDefault="00000000">
      <w:pPr>
        <w:rPr>
          <w:b/>
        </w:rPr>
      </w:pPr>
      <w:r w:rsidRPr="001338D8">
        <w:rPr>
          <w:b/>
        </w:rPr>
        <w:t>8.3. Health and Environmental Hazards</w:t>
      </w:r>
    </w:p>
    <w:p w14:paraId="000000E9" w14:textId="6B163A5A" w:rsidR="006B7F5B" w:rsidRPr="001338D8" w:rsidRDefault="00000000">
      <w:r w:rsidRPr="001338D8">
        <w:t xml:space="preserve">However, such environmentally friendly technology could have unintended consequences on Earth (e.g., ecological impact of tele-rectennas) or beyond (e.g., regolith processing activity on the Moon). There is also a </w:t>
      </w:r>
      <w:r w:rsidR="000615C5" w:rsidRPr="001338D8">
        <w:t>perception</w:t>
      </w:r>
      <w:r w:rsidRPr="001338D8">
        <w:t xml:space="preserve"> about microwave safety.</w:t>
      </w:r>
    </w:p>
    <w:p w14:paraId="000000EA" w14:textId="77777777" w:rsidR="006B7F5B" w:rsidRPr="001338D8" w:rsidRDefault="006B7F5B"/>
    <w:p w14:paraId="000000EB" w14:textId="77777777" w:rsidR="006B7F5B" w:rsidRPr="001338D8" w:rsidRDefault="00000000">
      <w:pPr>
        <w:rPr>
          <w:u w:val="single"/>
        </w:rPr>
      </w:pPr>
      <w:r w:rsidRPr="001338D8">
        <w:rPr>
          <w:u w:val="single"/>
        </w:rPr>
        <w:t>Mitigation includes:</w:t>
      </w:r>
    </w:p>
    <w:p w14:paraId="000000EC" w14:textId="77777777" w:rsidR="006B7F5B" w:rsidRPr="001338D8" w:rsidRDefault="006B7F5B"/>
    <w:p w14:paraId="000000ED" w14:textId="77777777" w:rsidR="006B7F5B" w:rsidRPr="001338D8" w:rsidRDefault="00000000" w:rsidP="000615C5">
      <w:pPr>
        <w:pStyle w:val="ListParagraph"/>
        <w:numPr>
          <w:ilvl w:val="0"/>
          <w:numId w:val="10"/>
        </w:numPr>
      </w:pPr>
      <w:r w:rsidRPr="001338D8">
        <w:t>Continuing Environmental Impact Assessment (EIA).</w:t>
      </w:r>
    </w:p>
    <w:p w14:paraId="000000EE" w14:textId="77777777" w:rsidR="006B7F5B" w:rsidRPr="001338D8" w:rsidRDefault="006B7F5B"/>
    <w:p w14:paraId="000000EF" w14:textId="77777777" w:rsidR="006B7F5B" w:rsidRPr="001338D8" w:rsidRDefault="00000000" w:rsidP="000615C5">
      <w:pPr>
        <w:pStyle w:val="ListParagraph"/>
        <w:numPr>
          <w:ilvl w:val="0"/>
          <w:numId w:val="10"/>
        </w:numPr>
      </w:pPr>
      <w:r w:rsidRPr="001338D8">
        <w:t>Community mobilization and social marketing.</w:t>
      </w:r>
    </w:p>
    <w:p w14:paraId="000000F0" w14:textId="77777777" w:rsidR="006B7F5B" w:rsidRPr="001338D8" w:rsidRDefault="006B7F5B"/>
    <w:p w14:paraId="000000F1" w14:textId="77777777" w:rsidR="006B7F5B" w:rsidRPr="001338D8" w:rsidRDefault="00000000" w:rsidP="000615C5">
      <w:pPr>
        <w:pStyle w:val="ListParagraph"/>
        <w:numPr>
          <w:ilvl w:val="0"/>
          <w:numId w:val="10"/>
        </w:numPr>
      </w:pPr>
      <w:r w:rsidRPr="001338D8">
        <w:t>Offshore or remote areas for rectenna placement.</w:t>
      </w:r>
    </w:p>
    <w:p w14:paraId="000000F2" w14:textId="77777777" w:rsidR="006B7F5B" w:rsidRPr="001338D8" w:rsidRDefault="006B7F5B"/>
    <w:p w14:paraId="000000F3" w14:textId="77777777" w:rsidR="006B7F5B" w:rsidRPr="001338D8" w:rsidRDefault="00000000">
      <w:pPr>
        <w:rPr>
          <w:b/>
        </w:rPr>
      </w:pPr>
      <w:r w:rsidRPr="001338D8">
        <w:rPr>
          <w:b/>
        </w:rPr>
        <w:t>8.4. Geopolitical and Legal Risks</w:t>
      </w:r>
    </w:p>
    <w:p w14:paraId="000000F4" w14:textId="77777777" w:rsidR="006B7F5B" w:rsidRPr="001338D8" w:rsidRDefault="00000000">
      <w:r w:rsidRPr="001338D8">
        <w:t>The absence of global agreement on the use of space resources and national competition for moonscape or orbital property could disrupt cooperation or lead to conflict.</w:t>
      </w:r>
    </w:p>
    <w:p w14:paraId="000000F5" w14:textId="77777777" w:rsidR="006B7F5B" w:rsidRPr="001338D8" w:rsidRDefault="006B7F5B"/>
    <w:p w14:paraId="000000F6" w14:textId="77777777" w:rsidR="006B7F5B" w:rsidRPr="001338D8" w:rsidRDefault="00000000">
      <w:pPr>
        <w:rPr>
          <w:u w:val="single"/>
        </w:rPr>
      </w:pPr>
      <w:r w:rsidRPr="001338D8">
        <w:rPr>
          <w:u w:val="single"/>
        </w:rPr>
        <w:t>Mitigation:</w:t>
      </w:r>
    </w:p>
    <w:p w14:paraId="000000F7" w14:textId="77777777" w:rsidR="006B7F5B" w:rsidRPr="001338D8" w:rsidRDefault="006B7F5B"/>
    <w:p w14:paraId="000000F8" w14:textId="77777777" w:rsidR="006B7F5B" w:rsidRPr="001338D8" w:rsidRDefault="00000000" w:rsidP="000615C5">
      <w:pPr>
        <w:pStyle w:val="ListParagraph"/>
        <w:numPr>
          <w:ilvl w:val="0"/>
          <w:numId w:val="11"/>
        </w:numPr>
      </w:pPr>
      <w:r w:rsidRPr="001338D8">
        <w:t>Early conclusion of a multilateral Earth-Moon Energy Accord (EMEA).</w:t>
      </w:r>
    </w:p>
    <w:p w14:paraId="000000F9" w14:textId="77777777" w:rsidR="006B7F5B" w:rsidRPr="001338D8" w:rsidRDefault="006B7F5B"/>
    <w:p w14:paraId="000000FA" w14:textId="77777777" w:rsidR="006B7F5B" w:rsidRPr="001338D8" w:rsidRDefault="00000000" w:rsidP="000615C5">
      <w:pPr>
        <w:pStyle w:val="ListParagraph"/>
        <w:numPr>
          <w:ilvl w:val="0"/>
          <w:numId w:val="11"/>
        </w:numPr>
      </w:pPr>
      <w:r w:rsidRPr="001338D8">
        <w:t>International oversight" through UN COPUOS.</w:t>
      </w:r>
    </w:p>
    <w:p w14:paraId="000000FB" w14:textId="77777777" w:rsidR="006B7F5B" w:rsidRPr="001338D8" w:rsidRDefault="006B7F5B"/>
    <w:p w14:paraId="000000FC" w14:textId="22D874B3" w:rsidR="006B7F5B" w:rsidRDefault="00000000" w:rsidP="000615C5">
      <w:pPr>
        <w:pStyle w:val="ListParagraph"/>
        <w:numPr>
          <w:ilvl w:val="0"/>
          <w:numId w:val="11"/>
        </w:numPr>
      </w:pPr>
      <w:r w:rsidRPr="001338D8">
        <w:t xml:space="preserve">Inclusive transparency and </w:t>
      </w:r>
      <w:r w:rsidR="000615C5" w:rsidRPr="001338D8">
        <w:t>consistency</w:t>
      </w:r>
      <w:r w:rsidRPr="001338D8">
        <w:t xml:space="preserve"> mechanism for the LSB operations.</w:t>
      </w:r>
    </w:p>
    <w:p w14:paraId="48F6C5EA" w14:textId="77777777" w:rsidR="008A76F0" w:rsidRDefault="008A76F0" w:rsidP="008A76F0">
      <w:pPr>
        <w:pStyle w:val="ListParagraph"/>
      </w:pPr>
    </w:p>
    <w:p w14:paraId="46BC82E8" w14:textId="77777777" w:rsidR="008A76F0" w:rsidRPr="001338D8" w:rsidRDefault="008A76F0" w:rsidP="008A76F0"/>
    <w:p w14:paraId="000000FD" w14:textId="77777777" w:rsidR="006B7F5B" w:rsidRPr="001338D8" w:rsidRDefault="006B7F5B"/>
    <w:p w14:paraId="000000FE" w14:textId="77777777" w:rsidR="006B7F5B" w:rsidRPr="001338D8" w:rsidRDefault="00000000">
      <w:pPr>
        <w:rPr>
          <w:b/>
        </w:rPr>
      </w:pPr>
      <w:r w:rsidRPr="001338D8">
        <w:rPr>
          <w:b/>
        </w:rPr>
        <w:t>8.5. Contingency Protocols</w:t>
      </w:r>
    </w:p>
    <w:p w14:paraId="000000FF" w14:textId="77777777" w:rsidR="006B7F5B" w:rsidRPr="001338D8" w:rsidRDefault="00000000">
      <w:r w:rsidRPr="001338D8">
        <w:t xml:space="preserve">The concept of a “minimum viable belt” permits minimal system and power beaming operations to commence with minimal infrastructure, which ensures some ROI (even if less than desired) </w:t>
      </w:r>
      <w:r w:rsidRPr="001338D8">
        <w:lastRenderedPageBreak/>
        <w:t>applied to suboptimal conditions. Redundant communication paths, emergency shutdown capability, remote-control override capabilities are built in just for that.</w:t>
      </w:r>
    </w:p>
    <w:p w14:paraId="00000100" w14:textId="77777777" w:rsidR="006B7F5B" w:rsidRPr="001338D8" w:rsidRDefault="006B7F5B"/>
    <w:p w14:paraId="00000101" w14:textId="77777777" w:rsidR="006B7F5B" w:rsidRDefault="00000000">
      <w:r w:rsidRPr="001338D8">
        <w:t>Ultimately though, although the LSB faces unprecedented threats, they are manageable – by engineering resilience, staged investment, and international governance. Foreseeing and planning for the unexpected are not only a protective measure, but also a basic precondition for such a monumental global transition of the energy system.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59"/>
        <w:gridCol w:w="1753"/>
        <w:gridCol w:w="1362"/>
        <w:gridCol w:w="4476"/>
      </w:tblGrid>
      <w:tr w:rsidR="008A76F0" w:rsidRPr="008A76F0" w14:paraId="073E700D" w14:textId="77777777" w:rsidTr="008A76F0">
        <w:trPr>
          <w:tblHeader/>
          <w:tblCellSpacing w:w="15" w:type="dxa"/>
        </w:trPr>
        <w:tc>
          <w:tcPr>
            <w:tcW w:w="0" w:type="auto"/>
            <w:vAlign w:val="center"/>
            <w:hideMark/>
          </w:tcPr>
          <w:p w14:paraId="4BC86992" w14:textId="77777777" w:rsidR="008A76F0" w:rsidRPr="008A76F0" w:rsidRDefault="008A76F0" w:rsidP="008A76F0">
            <w:pPr>
              <w:rPr>
                <w:b/>
                <w:bCs/>
                <w:lang w:val="en-US"/>
              </w:rPr>
            </w:pPr>
            <w:r w:rsidRPr="008A76F0">
              <w:rPr>
                <w:b/>
                <w:bCs/>
                <w:lang w:val="en-US"/>
              </w:rPr>
              <w:t>Risk Area</w:t>
            </w:r>
          </w:p>
        </w:tc>
        <w:tc>
          <w:tcPr>
            <w:tcW w:w="0" w:type="auto"/>
            <w:vAlign w:val="center"/>
            <w:hideMark/>
          </w:tcPr>
          <w:p w14:paraId="6286E4AC" w14:textId="77777777" w:rsidR="008A76F0" w:rsidRPr="008A76F0" w:rsidRDefault="008A76F0" w:rsidP="008A76F0">
            <w:pPr>
              <w:rPr>
                <w:b/>
                <w:bCs/>
                <w:lang w:val="en-US"/>
              </w:rPr>
            </w:pPr>
            <w:r w:rsidRPr="008A76F0">
              <w:rPr>
                <w:b/>
                <w:bCs/>
                <w:lang w:val="en-US"/>
              </w:rPr>
              <w:t>Likelihood (1–5)</w:t>
            </w:r>
          </w:p>
        </w:tc>
        <w:tc>
          <w:tcPr>
            <w:tcW w:w="0" w:type="auto"/>
            <w:vAlign w:val="center"/>
            <w:hideMark/>
          </w:tcPr>
          <w:p w14:paraId="6BFF8422" w14:textId="77777777" w:rsidR="008A76F0" w:rsidRPr="008A76F0" w:rsidRDefault="008A76F0" w:rsidP="008A76F0">
            <w:pPr>
              <w:rPr>
                <w:b/>
                <w:bCs/>
                <w:lang w:val="en-US"/>
              </w:rPr>
            </w:pPr>
            <w:r w:rsidRPr="008A76F0">
              <w:rPr>
                <w:b/>
                <w:bCs/>
                <w:lang w:val="en-US"/>
              </w:rPr>
              <w:t>Impact (1–5)</w:t>
            </w:r>
          </w:p>
        </w:tc>
        <w:tc>
          <w:tcPr>
            <w:tcW w:w="0" w:type="auto"/>
            <w:vAlign w:val="center"/>
            <w:hideMark/>
          </w:tcPr>
          <w:p w14:paraId="447CEA89" w14:textId="77777777" w:rsidR="008A76F0" w:rsidRPr="008A76F0" w:rsidRDefault="008A76F0" w:rsidP="008A76F0">
            <w:pPr>
              <w:rPr>
                <w:b/>
                <w:bCs/>
                <w:lang w:val="en-US"/>
              </w:rPr>
            </w:pPr>
            <w:r w:rsidRPr="008A76F0">
              <w:rPr>
                <w:b/>
                <w:bCs/>
                <w:lang w:val="en-US"/>
              </w:rPr>
              <w:t>Main Mitigation Strategies</w:t>
            </w:r>
          </w:p>
        </w:tc>
      </w:tr>
      <w:tr w:rsidR="008A76F0" w:rsidRPr="008A76F0" w14:paraId="2756CAFB" w14:textId="77777777" w:rsidTr="008A76F0">
        <w:trPr>
          <w:tblCellSpacing w:w="15" w:type="dxa"/>
        </w:trPr>
        <w:tc>
          <w:tcPr>
            <w:tcW w:w="0" w:type="auto"/>
            <w:vAlign w:val="center"/>
            <w:hideMark/>
          </w:tcPr>
          <w:p w14:paraId="015D53E1" w14:textId="77777777" w:rsidR="008A76F0" w:rsidRPr="008A76F0" w:rsidRDefault="008A76F0" w:rsidP="008A76F0">
            <w:pPr>
              <w:rPr>
                <w:lang w:val="en-US"/>
              </w:rPr>
            </w:pPr>
            <w:r w:rsidRPr="008A76F0">
              <w:rPr>
                <w:lang w:val="en-US"/>
              </w:rPr>
              <w:t>Technical</w:t>
            </w:r>
          </w:p>
        </w:tc>
        <w:tc>
          <w:tcPr>
            <w:tcW w:w="0" w:type="auto"/>
            <w:vAlign w:val="center"/>
            <w:hideMark/>
          </w:tcPr>
          <w:p w14:paraId="74679835" w14:textId="77777777" w:rsidR="008A76F0" w:rsidRPr="008A76F0" w:rsidRDefault="008A76F0" w:rsidP="008A76F0">
            <w:pPr>
              <w:rPr>
                <w:lang w:val="en-US"/>
              </w:rPr>
            </w:pPr>
            <w:r w:rsidRPr="008A76F0">
              <w:rPr>
                <w:lang w:val="en-US"/>
              </w:rPr>
              <w:t>4</w:t>
            </w:r>
          </w:p>
        </w:tc>
        <w:tc>
          <w:tcPr>
            <w:tcW w:w="0" w:type="auto"/>
            <w:vAlign w:val="center"/>
            <w:hideMark/>
          </w:tcPr>
          <w:p w14:paraId="45470F4F" w14:textId="77777777" w:rsidR="008A76F0" w:rsidRPr="008A76F0" w:rsidRDefault="008A76F0" w:rsidP="008A76F0">
            <w:pPr>
              <w:rPr>
                <w:lang w:val="en-US"/>
              </w:rPr>
            </w:pPr>
            <w:r w:rsidRPr="008A76F0">
              <w:rPr>
                <w:lang w:val="en-US"/>
              </w:rPr>
              <w:t>5</w:t>
            </w:r>
          </w:p>
        </w:tc>
        <w:tc>
          <w:tcPr>
            <w:tcW w:w="0" w:type="auto"/>
            <w:vAlign w:val="center"/>
            <w:hideMark/>
          </w:tcPr>
          <w:p w14:paraId="522317D9" w14:textId="77777777" w:rsidR="008A76F0" w:rsidRPr="008A76F0" w:rsidRDefault="008A76F0" w:rsidP="008A76F0">
            <w:pPr>
              <w:rPr>
                <w:lang w:val="en-US"/>
              </w:rPr>
            </w:pPr>
            <w:r w:rsidRPr="008A76F0">
              <w:rPr>
                <w:lang w:val="en-US"/>
              </w:rPr>
              <w:t>Redundancy, multi-phase validation</w:t>
            </w:r>
          </w:p>
        </w:tc>
      </w:tr>
      <w:tr w:rsidR="008A76F0" w:rsidRPr="008A76F0" w14:paraId="2C2E88C7" w14:textId="77777777" w:rsidTr="008A76F0">
        <w:trPr>
          <w:tblCellSpacing w:w="15" w:type="dxa"/>
        </w:trPr>
        <w:tc>
          <w:tcPr>
            <w:tcW w:w="0" w:type="auto"/>
            <w:vAlign w:val="center"/>
            <w:hideMark/>
          </w:tcPr>
          <w:p w14:paraId="47B5CF48" w14:textId="77777777" w:rsidR="008A76F0" w:rsidRPr="008A76F0" w:rsidRDefault="008A76F0" w:rsidP="008A76F0">
            <w:pPr>
              <w:rPr>
                <w:lang w:val="en-US"/>
              </w:rPr>
            </w:pPr>
            <w:r w:rsidRPr="008A76F0">
              <w:rPr>
                <w:lang w:val="en-US"/>
              </w:rPr>
              <w:t>Financial</w:t>
            </w:r>
          </w:p>
        </w:tc>
        <w:tc>
          <w:tcPr>
            <w:tcW w:w="0" w:type="auto"/>
            <w:vAlign w:val="center"/>
            <w:hideMark/>
          </w:tcPr>
          <w:p w14:paraId="24DDDDAA" w14:textId="77777777" w:rsidR="008A76F0" w:rsidRPr="008A76F0" w:rsidRDefault="008A76F0" w:rsidP="008A76F0">
            <w:pPr>
              <w:rPr>
                <w:lang w:val="en-US"/>
              </w:rPr>
            </w:pPr>
            <w:r w:rsidRPr="008A76F0">
              <w:rPr>
                <w:lang w:val="en-US"/>
              </w:rPr>
              <w:t>3</w:t>
            </w:r>
          </w:p>
        </w:tc>
        <w:tc>
          <w:tcPr>
            <w:tcW w:w="0" w:type="auto"/>
            <w:vAlign w:val="center"/>
            <w:hideMark/>
          </w:tcPr>
          <w:p w14:paraId="6E8D9ACC" w14:textId="77777777" w:rsidR="008A76F0" w:rsidRPr="008A76F0" w:rsidRDefault="008A76F0" w:rsidP="008A76F0">
            <w:pPr>
              <w:rPr>
                <w:lang w:val="en-US"/>
              </w:rPr>
            </w:pPr>
            <w:r w:rsidRPr="008A76F0">
              <w:rPr>
                <w:lang w:val="en-US"/>
              </w:rPr>
              <w:t>4</w:t>
            </w:r>
          </w:p>
        </w:tc>
        <w:tc>
          <w:tcPr>
            <w:tcW w:w="0" w:type="auto"/>
            <w:vAlign w:val="center"/>
            <w:hideMark/>
          </w:tcPr>
          <w:p w14:paraId="49786E5C" w14:textId="77777777" w:rsidR="008A76F0" w:rsidRPr="008A76F0" w:rsidRDefault="008A76F0" w:rsidP="008A76F0">
            <w:pPr>
              <w:rPr>
                <w:lang w:val="en-US"/>
              </w:rPr>
            </w:pPr>
            <w:r w:rsidRPr="008A76F0">
              <w:rPr>
                <w:lang w:val="en-US"/>
              </w:rPr>
              <w:t>JV, public/private funding, insurance</w:t>
            </w:r>
          </w:p>
        </w:tc>
      </w:tr>
      <w:tr w:rsidR="008A76F0" w:rsidRPr="008A76F0" w14:paraId="73B58C9D" w14:textId="77777777" w:rsidTr="008A76F0">
        <w:trPr>
          <w:tblCellSpacing w:w="15" w:type="dxa"/>
        </w:trPr>
        <w:tc>
          <w:tcPr>
            <w:tcW w:w="0" w:type="auto"/>
            <w:vAlign w:val="center"/>
            <w:hideMark/>
          </w:tcPr>
          <w:p w14:paraId="10420D77" w14:textId="77777777" w:rsidR="008A76F0" w:rsidRPr="008A76F0" w:rsidRDefault="008A76F0" w:rsidP="008A76F0">
            <w:pPr>
              <w:rPr>
                <w:lang w:val="en-US"/>
              </w:rPr>
            </w:pPr>
            <w:r w:rsidRPr="008A76F0">
              <w:rPr>
                <w:lang w:val="en-US"/>
              </w:rPr>
              <w:t>Environmental</w:t>
            </w:r>
          </w:p>
        </w:tc>
        <w:tc>
          <w:tcPr>
            <w:tcW w:w="0" w:type="auto"/>
            <w:vAlign w:val="center"/>
            <w:hideMark/>
          </w:tcPr>
          <w:p w14:paraId="510B5988" w14:textId="77777777" w:rsidR="008A76F0" w:rsidRPr="008A76F0" w:rsidRDefault="008A76F0" w:rsidP="008A76F0">
            <w:pPr>
              <w:rPr>
                <w:lang w:val="en-US"/>
              </w:rPr>
            </w:pPr>
            <w:r w:rsidRPr="008A76F0">
              <w:rPr>
                <w:lang w:val="en-US"/>
              </w:rPr>
              <w:t>2</w:t>
            </w:r>
          </w:p>
        </w:tc>
        <w:tc>
          <w:tcPr>
            <w:tcW w:w="0" w:type="auto"/>
            <w:vAlign w:val="center"/>
            <w:hideMark/>
          </w:tcPr>
          <w:p w14:paraId="3B76A54D" w14:textId="77777777" w:rsidR="008A76F0" w:rsidRPr="008A76F0" w:rsidRDefault="008A76F0" w:rsidP="008A76F0">
            <w:pPr>
              <w:rPr>
                <w:lang w:val="en-US"/>
              </w:rPr>
            </w:pPr>
            <w:r w:rsidRPr="008A76F0">
              <w:rPr>
                <w:lang w:val="en-US"/>
              </w:rPr>
              <w:t>3</w:t>
            </w:r>
          </w:p>
        </w:tc>
        <w:tc>
          <w:tcPr>
            <w:tcW w:w="0" w:type="auto"/>
            <w:vAlign w:val="center"/>
            <w:hideMark/>
          </w:tcPr>
          <w:p w14:paraId="51B04E38" w14:textId="77777777" w:rsidR="008A76F0" w:rsidRPr="008A76F0" w:rsidRDefault="008A76F0" w:rsidP="008A76F0">
            <w:pPr>
              <w:rPr>
                <w:lang w:val="en-US"/>
              </w:rPr>
            </w:pPr>
            <w:r w:rsidRPr="008A76F0">
              <w:rPr>
                <w:lang w:val="en-US"/>
              </w:rPr>
              <w:t>EIA, safety protocols, adaptive deployment</w:t>
            </w:r>
          </w:p>
        </w:tc>
      </w:tr>
      <w:tr w:rsidR="008A76F0" w:rsidRPr="008A76F0" w14:paraId="6F2E933E" w14:textId="77777777" w:rsidTr="008A76F0">
        <w:trPr>
          <w:tblCellSpacing w:w="15" w:type="dxa"/>
        </w:trPr>
        <w:tc>
          <w:tcPr>
            <w:tcW w:w="0" w:type="auto"/>
            <w:vAlign w:val="center"/>
            <w:hideMark/>
          </w:tcPr>
          <w:p w14:paraId="16E04DD0" w14:textId="77777777" w:rsidR="008A76F0" w:rsidRPr="008A76F0" w:rsidRDefault="008A76F0" w:rsidP="008A76F0">
            <w:pPr>
              <w:rPr>
                <w:lang w:val="en-US"/>
              </w:rPr>
            </w:pPr>
            <w:r w:rsidRPr="008A76F0">
              <w:rPr>
                <w:lang w:val="en-US"/>
              </w:rPr>
              <w:t>Geopolitical</w:t>
            </w:r>
          </w:p>
        </w:tc>
        <w:tc>
          <w:tcPr>
            <w:tcW w:w="0" w:type="auto"/>
            <w:vAlign w:val="center"/>
            <w:hideMark/>
          </w:tcPr>
          <w:p w14:paraId="3615D1E5" w14:textId="77777777" w:rsidR="008A76F0" w:rsidRPr="008A76F0" w:rsidRDefault="008A76F0" w:rsidP="008A76F0">
            <w:pPr>
              <w:rPr>
                <w:lang w:val="en-US"/>
              </w:rPr>
            </w:pPr>
            <w:r w:rsidRPr="008A76F0">
              <w:rPr>
                <w:lang w:val="en-US"/>
              </w:rPr>
              <w:t>3</w:t>
            </w:r>
          </w:p>
        </w:tc>
        <w:tc>
          <w:tcPr>
            <w:tcW w:w="0" w:type="auto"/>
            <w:vAlign w:val="center"/>
            <w:hideMark/>
          </w:tcPr>
          <w:p w14:paraId="7E2213E8" w14:textId="77777777" w:rsidR="008A76F0" w:rsidRPr="008A76F0" w:rsidRDefault="008A76F0" w:rsidP="008A76F0">
            <w:pPr>
              <w:rPr>
                <w:lang w:val="en-US"/>
              </w:rPr>
            </w:pPr>
            <w:r w:rsidRPr="008A76F0">
              <w:rPr>
                <w:lang w:val="en-US"/>
              </w:rPr>
              <w:t>4</w:t>
            </w:r>
          </w:p>
        </w:tc>
        <w:tc>
          <w:tcPr>
            <w:tcW w:w="0" w:type="auto"/>
            <w:vAlign w:val="center"/>
            <w:hideMark/>
          </w:tcPr>
          <w:p w14:paraId="7C62A3B0" w14:textId="77777777" w:rsidR="008A76F0" w:rsidRPr="008A76F0" w:rsidRDefault="008A76F0" w:rsidP="008A76F0">
            <w:pPr>
              <w:rPr>
                <w:lang w:val="en-US"/>
              </w:rPr>
            </w:pPr>
            <w:r w:rsidRPr="008A76F0">
              <w:rPr>
                <w:lang w:val="en-US"/>
              </w:rPr>
              <w:t>EMEA, UN oversight, transparency</w:t>
            </w:r>
          </w:p>
        </w:tc>
      </w:tr>
      <w:tr w:rsidR="008A76F0" w:rsidRPr="008A76F0" w14:paraId="361BE1D8" w14:textId="77777777" w:rsidTr="008A76F0">
        <w:trPr>
          <w:tblCellSpacing w:w="15" w:type="dxa"/>
        </w:trPr>
        <w:tc>
          <w:tcPr>
            <w:tcW w:w="0" w:type="auto"/>
            <w:vAlign w:val="center"/>
            <w:hideMark/>
          </w:tcPr>
          <w:p w14:paraId="68D3988C" w14:textId="77777777" w:rsidR="008A76F0" w:rsidRPr="008A76F0" w:rsidRDefault="008A76F0" w:rsidP="008A76F0">
            <w:pPr>
              <w:rPr>
                <w:lang w:val="en-US"/>
              </w:rPr>
            </w:pPr>
            <w:r w:rsidRPr="008A76F0">
              <w:rPr>
                <w:lang w:val="en-US"/>
              </w:rPr>
              <w:t>Legal/Regulatory</w:t>
            </w:r>
          </w:p>
        </w:tc>
        <w:tc>
          <w:tcPr>
            <w:tcW w:w="0" w:type="auto"/>
            <w:vAlign w:val="center"/>
            <w:hideMark/>
          </w:tcPr>
          <w:p w14:paraId="189029C6" w14:textId="77777777" w:rsidR="008A76F0" w:rsidRPr="008A76F0" w:rsidRDefault="008A76F0" w:rsidP="008A76F0">
            <w:pPr>
              <w:rPr>
                <w:lang w:val="en-US"/>
              </w:rPr>
            </w:pPr>
            <w:r w:rsidRPr="008A76F0">
              <w:rPr>
                <w:lang w:val="en-US"/>
              </w:rPr>
              <w:t>2</w:t>
            </w:r>
          </w:p>
        </w:tc>
        <w:tc>
          <w:tcPr>
            <w:tcW w:w="0" w:type="auto"/>
            <w:vAlign w:val="center"/>
            <w:hideMark/>
          </w:tcPr>
          <w:p w14:paraId="6D9F4E85" w14:textId="77777777" w:rsidR="008A76F0" w:rsidRPr="008A76F0" w:rsidRDefault="008A76F0" w:rsidP="008A76F0">
            <w:pPr>
              <w:rPr>
                <w:lang w:val="en-US"/>
              </w:rPr>
            </w:pPr>
            <w:r w:rsidRPr="008A76F0">
              <w:rPr>
                <w:lang w:val="en-US"/>
              </w:rPr>
              <w:t>3</w:t>
            </w:r>
          </w:p>
        </w:tc>
        <w:tc>
          <w:tcPr>
            <w:tcW w:w="0" w:type="auto"/>
            <w:vAlign w:val="center"/>
            <w:hideMark/>
          </w:tcPr>
          <w:p w14:paraId="139429FF" w14:textId="77777777" w:rsidR="008A76F0" w:rsidRPr="008A76F0" w:rsidRDefault="008A76F0" w:rsidP="008A76F0">
            <w:pPr>
              <w:rPr>
                <w:lang w:val="en-US"/>
              </w:rPr>
            </w:pPr>
            <w:r w:rsidRPr="008A76F0">
              <w:rPr>
                <w:lang w:val="en-US"/>
              </w:rPr>
              <w:t>Early EMEA, UN treaties, public engagement</w:t>
            </w:r>
          </w:p>
        </w:tc>
      </w:tr>
    </w:tbl>
    <w:p w14:paraId="0ADEB2CB" w14:textId="77777777" w:rsidR="008A76F0" w:rsidRPr="008A76F0" w:rsidRDefault="008A76F0" w:rsidP="008A76F0">
      <w:pPr>
        <w:rPr>
          <w:sz w:val="16"/>
          <w:szCs w:val="16"/>
          <w:lang w:val="en-US"/>
        </w:rPr>
      </w:pPr>
      <w:r w:rsidRPr="008A76F0">
        <w:rPr>
          <w:sz w:val="16"/>
          <w:szCs w:val="16"/>
          <w:lang w:val="en-US"/>
        </w:rPr>
        <w:t>Table 5. Major risk areas for LSB project with mitigation approaches.</w:t>
      </w:r>
    </w:p>
    <w:p w14:paraId="10D47D50" w14:textId="77777777" w:rsidR="008A76F0" w:rsidRPr="001338D8" w:rsidRDefault="008A76F0"/>
    <w:p w14:paraId="00000102" w14:textId="77777777" w:rsidR="006B7F5B" w:rsidRPr="001338D8" w:rsidRDefault="006B7F5B"/>
    <w:p w14:paraId="00000103" w14:textId="77777777" w:rsidR="006B7F5B" w:rsidRPr="001338D8" w:rsidRDefault="00000000">
      <w:pPr>
        <w:rPr>
          <w:b/>
        </w:rPr>
      </w:pPr>
      <w:r w:rsidRPr="001338D8">
        <w:rPr>
          <w:b/>
        </w:rPr>
        <w:t>9. Roadmap and Future Work</w:t>
      </w:r>
    </w:p>
    <w:p w14:paraId="00000104" w14:textId="77777777" w:rsidR="006B7F5B" w:rsidRPr="001338D8" w:rsidRDefault="006B7F5B">
      <w:pPr>
        <w:rPr>
          <w:b/>
        </w:rPr>
      </w:pPr>
    </w:p>
    <w:p w14:paraId="00000105" w14:textId="77777777" w:rsidR="006B7F5B" w:rsidRDefault="00000000">
      <w:r w:rsidRPr="001338D8">
        <w:t>The transition from vision to reality for the Lunar Solar Belt (LSB) necessitates a phased and organized approach which incorporates both technological readiness and practical milestones. This plan covers three decades from early-phase experiments to a full-scale operational lunar energy system. In the future, technical development, policy, infrastructure testing, and mechanisms for international cooperation must be tackled.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22"/>
        <w:gridCol w:w="690"/>
        <w:gridCol w:w="7738"/>
      </w:tblGrid>
      <w:tr w:rsidR="008A76F0" w:rsidRPr="008A76F0" w14:paraId="552FDA35" w14:textId="77777777" w:rsidTr="008A76F0">
        <w:trPr>
          <w:tblHeader/>
          <w:tblCellSpacing w:w="15" w:type="dxa"/>
        </w:trPr>
        <w:tc>
          <w:tcPr>
            <w:tcW w:w="0" w:type="auto"/>
            <w:vAlign w:val="center"/>
            <w:hideMark/>
          </w:tcPr>
          <w:p w14:paraId="719B3E45" w14:textId="77777777" w:rsidR="008A76F0" w:rsidRPr="008A76F0" w:rsidRDefault="008A76F0" w:rsidP="008A76F0">
            <w:pPr>
              <w:rPr>
                <w:b/>
                <w:bCs/>
                <w:lang w:val="en-US"/>
              </w:rPr>
            </w:pPr>
            <w:r w:rsidRPr="008A76F0">
              <w:rPr>
                <w:b/>
                <w:bCs/>
                <w:lang w:val="en-US"/>
              </w:rPr>
              <w:t>Phase</w:t>
            </w:r>
          </w:p>
        </w:tc>
        <w:tc>
          <w:tcPr>
            <w:tcW w:w="0" w:type="auto"/>
            <w:vAlign w:val="center"/>
            <w:hideMark/>
          </w:tcPr>
          <w:p w14:paraId="6BB0CEBB" w14:textId="77777777" w:rsidR="008A76F0" w:rsidRPr="008A76F0" w:rsidRDefault="008A76F0" w:rsidP="008A76F0">
            <w:pPr>
              <w:rPr>
                <w:b/>
                <w:bCs/>
                <w:lang w:val="en-US"/>
              </w:rPr>
            </w:pPr>
            <w:r w:rsidRPr="008A76F0">
              <w:rPr>
                <w:b/>
                <w:bCs/>
                <w:lang w:val="en-US"/>
              </w:rPr>
              <w:t>Years</w:t>
            </w:r>
          </w:p>
        </w:tc>
        <w:tc>
          <w:tcPr>
            <w:tcW w:w="0" w:type="auto"/>
            <w:vAlign w:val="center"/>
            <w:hideMark/>
          </w:tcPr>
          <w:p w14:paraId="78F7CAE6" w14:textId="77777777" w:rsidR="008A76F0" w:rsidRPr="008A76F0" w:rsidRDefault="008A76F0" w:rsidP="008A76F0">
            <w:pPr>
              <w:rPr>
                <w:b/>
                <w:bCs/>
                <w:lang w:val="en-US"/>
              </w:rPr>
            </w:pPr>
            <w:r w:rsidRPr="008A76F0">
              <w:rPr>
                <w:b/>
                <w:bCs/>
                <w:lang w:val="en-US"/>
              </w:rPr>
              <w:t>Milestones</w:t>
            </w:r>
          </w:p>
        </w:tc>
      </w:tr>
      <w:tr w:rsidR="008A76F0" w:rsidRPr="008A76F0" w14:paraId="6153807F" w14:textId="77777777" w:rsidTr="008A76F0">
        <w:trPr>
          <w:tblCellSpacing w:w="15" w:type="dxa"/>
        </w:trPr>
        <w:tc>
          <w:tcPr>
            <w:tcW w:w="0" w:type="auto"/>
            <w:vAlign w:val="center"/>
            <w:hideMark/>
          </w:tcPr>
          <w:p w14:paraId="27D2F873" w14:textId="77777777" w:rsidR="008A76F0" w:rsidRPr="008A76F0" w:rsidRDefault="008A76F0" w:rsidP="008A76F0">
            <w:pPr>
              <w:rPr>
                <w:lang w:val="en-US"/>
              </w:rPr>
            </w:pPr>
            <w:r w:rsidRPr="008A76F0">
              <w:rPr>
                <w:lang w:val="en-US"/>
              </w:rPr>
              <w:t>Phase I</w:t>
            </w:r>
          </w:p>
        </w:tc>
        <w:tc>
          <w:tcPr>
            <w:tcW w:w="0" w:type="auto"/>
            <w:vAlign w:val="center"/>
            <w:hideMark/>
          </w:tcPr>
          <w:p w14:paraId="63921B68" w14:textId="77777777" w:rsidR="008A76F0" w:rsidRPr="008A76F0" w:rsidRDefault="008A76F0" w:rsidP="008A76F0">
            <w:pPr>
              <w:rPr>
                <w:lang w:val="en-US"/>
              </w:rPr>
            </w:pPr>
            <w:r w:rsidRPr="008A76F0">
              <w:rPr>
                <w:lang w:val="en-US"/>
              </w:rPr>
              <w:t>1–5</w:t>
            </w:r>
          </w:p>
        </w:tc>
        <w:tc>
          <w:tcPr>
            <w:tcW w:w="0" w:type="auto"/>
            <w:vAlign w:val="center"/>
            <w:hideMark/>
          </w:tcPr>
          <w:p w14:paraId="7732577E" w14:textId="77777777" w:rsidR="008A76F0" w:rsidRPr="008A76F0" w:rsidRDefault="008A76F0" w:rsidP="008A76F0">
            <w:pPr>
              <w:rPr>
                <w:lang w:val="en-US"/>
              </w:rPr>
            </w:pPr>
            <w:r w:rsidRPr="008A76F0">
              <w:rPr>
                <w:lang w:val="en-US"/>
              </w:rPr>
              <w:t>ISRU, robotics lab demos, ground transmission test</w:t>
            </w:r>
          </w:p>
        </w:tc>
      </w:tr>
      <w:tr w:rsidR="008A76F0" w:rsidRPr="008A76F0" w14:paraId="7726178B" w14:textId="77777777" w:rsidTr="008A76F0">
        <w:trPr>
          <w:tblCellSpacing w:w="15" w:type="dxa"/>
        </w:trPr>
        <w:tc>
          <w:tcPr>
            <w:tcW w:w="0" w:type="auto"/>
            <w:vAlign w:val="center"/>
            <w:hideMark/>
          </w:tcPr>
          <w:p w14:paraId="5B756E90" w14:textId="77777777" w:rsidR="008A76F0" w:rsidRPr="008A76F0" w:rsidRDefault="008A76F0" w:rsidP="008A76F0">
            <w:pPr>
              <w:rPr>
                <w:lang w:val="en-US"/>
              </w:rPr>
            </w:pPr>
            <w:r w:rsidRPr="008A76F0">
              <w:rPr>
                <w:lang w:val="en-US"/>
              </w:rPr>
              <w:t>Phase II</w:t>
            </w:r>
          </w:p>
        </w:tc>
        <w:tc>
          <w:tcPr>
            <w:tcW w:w="0" w:type="auto"/>
            <w:vAlign w:val="center"/>
            <w:hideMark/>
          </w:tcPr>
          <w:p w14:paraId="431F6FC4" w14:textId="77777777" w:rsidR="008A76F0" w:rsidRPr="008A76F0" w:rsidRDefault="008A76F0" w:rsidP="008A76F0">
            <w:pPr>
              <w:rPr>
                <w:lang w:val="en-US"/>
              </w:rPr>
            </w:pPr>
            <w:r w:rsidRPr="008A76F0">
              <w:rPr>
                <w:lang w:val="en-US"/>
              </w:rPr>
              <w:t>6–15</w:t>
            </w:r>
          </w:p>
        </w:tc>
        <w:tc>
          <w:tcPr>
            <w:tcW w:w="0" w:type="auto"/>
            <w:vAlign w:val="center"/>
            <w:hideMark/>
          </w:tcPr>
          <w:p w14:paraId="280F89CC" w14:textId="77777777" w:rsidR="008A76F0" w:rsidRPr="008A76F0" w:rsidRDefault="008A76F0" w:rsidP="008A76F0">
            <w:pPr>
              <w:rPr>
                <w:lang w:val="en-US"/>
              </w:rPr>
            </w:pPr>
            <w:r w:rsidRPr="008A76F0">
              <w:rPr>
                <w:lang w:val="en-US"/>
              </w:rPr>
              <w:t>ISRU &amp; robots deployed, pilot array, 1st relay sat, 1st energy transmission, pilot rectenna</w:t>
            </w:r>
          </w:p>
        </w:tc>
      </w:tr>
      <w:tr w:rsidR="008A76F0" w:rsidRPr="008A76F0" w14:paraId="4B5D41E3" w14:textId="77777777" w:rsidTr="008A76F0">
        <w:trPr>
          <w:tblCellSpacing w:w="15" w:type="dxa"/>
        </w:trPr>
        <w:tc>
          <w:tcPr>
            <w:tcW w:w="0" w:type="auto"/>
            <w:vAlign w:val="center"/>
            <w:hideMark/>
          </w:tcPr>
          <w:p w14:paraId="0B6237CB" w14:textId="77777777" w:rsidR="008A76F0" w:rsidRPr="008A76F0" w:rsidRDefault="008A76F0" w:rsidP="008A76F0">
            <w:pPr>
              <w:rPr>
                <w:lang w:val="en-US"/>
              </w:rPr>
            </w:pPr>
            <w:r w:rsidRPr="008A76F0">
              <w:rPr>
                <w:lang w:val="en-US"/>
              </w:rPr>
              <w:t>Phase III</w:t>
            </w:r>
          </w:p>
        </w:tc>
        <w:tc>
          <w:tcPr>
            <w:tcW w:w="0" w:type="auto"/>
            <w:vAlign w:val="center"/>
            <w:hideMark/>
          </w:tcPr>
          <w:p w14:paraId="520329CE" w14:textId="77777777" w:rsidR="008A76F0" w:rsidRPr="008A76F0" w:rsidRDefault="008A76F0" w:rsidP="008A76F0">
            <w:pPr>
              <w:rPr>
                <w:lang w:val="en-US"/>
              </w:rPr>
            </w:pPr>
            <w:r w:rsidRPr="008A76F0">
              <w:rPr>
                <w:lang w:val="en-US"/>
              </w:rPr>
              <w:t>16–30</w:t>
            </w:r>
          </w:p>
        </w:tc>
        <w:tc>
          <w:tcPr>
            <w:tcW w:w="0" w:type="auto"/>
            <w:vAlign w:val="center"/>
            <w:hideMark/>
          </w:tcPr>
          <w:p w14:paraId="5E67B37A" w14:textId="77777777" w:rsidR="008A76F0" w:rsidRPr="008A76F0" w:rsidRDefault="008A76F0" w:rsidP="008A76F0">
            <w:pPr>
              <w:rPr>
                <w:lang w:val="en-US"/>
              </w:rPr>
            </w:pPr>
            <w:r w:rsidRPr="008A76F0">
              <w:rPr>
                <w:lang w:val="en-US"/>
              </w:rPr>
              <w:t>Full belt, global grid integration, commercial ops, long-term maintenance, recycling, deorbiting</w:t>
            </w:r>
          </w:p>
        </w:tc>
      </w:tr>
    </w:tbl>
    <w:p w14:paraId="0497EACD" w14:textId="77777777" w:rsidR="008A76F0" w:rsidRPr="008A76F0" w:rsidRDefault="008A76F0" w:rsidP="008A76F0">
      <w:pPr>
        <w:rPr>
          <w:sz w:val="16"/>
          <w:szCs w:val="16"/>
          <w:lang w:val="en-US"/>
        </w:rPr>
      </w:pPr>
      <w:r w:rsidRPr="008A76F0">
        <w:rPr>
          <w:sz w:val="16"/>
          <w:szCs w:val="16"/>
          <w:lang w:val="en-US"/>
        </w:rPr>
        <w:t>Table 4. Major milestones for Lunar Solar Belt development over three decades.</w:t>
      </w:r>
    </w:p>
    <w:p w14:paraId="242FC648" w14:textId="77777777" w:rsidR="008A76F0" w:rsidRPr="001338D8" w:rsidRDefault="008A76F0"/>
    <w:p w14:paraId="00000106" w14:textId="77777777" w:rsidR="006B7F5B" w:rsidRPr="001338D8" w:rsidRDefault="006B7F5B"/>
    <w:p w14:paraId="00000107" w14:textId="4D4B4D35" w:rsidR="006B7F5B" w:rsidRPr="001338D8" w:rsidRDefault="00000000">
      <w:pPr>
        <w:rPr>
          <w:b/>
        </w:rPr>
      </w:pPr>
      <w:r w:rsidRPr="001338D8">
        <w:rPr>
          <w:b/>
        </w:rPr>
        <w:t xml:space="preserve">9.1. Phase </w:t>
      </w:r>
      <w:r w:rsidR="000615C5" w:rsidRPr="001338D8">
        <w:rPr>
          <w:b/>
        </w:rPr>
        <w:t>I: Feasibility</w:t>
      </w:r>
      <w:r w:rsidRPr="001338D8">
        <w:rPr>
          <w:b/>
        </w:rPr>
        <w:t> (Years 1-5)</w:t>
      </w:r>
    </w:p>
    <w:p w14:paraId="00000108" w14:textId="77777777" w:rsidR="006B7F5B" w:rsidRPr="001338D8" w:rsidRDefault="00000000">
      <w:r w:rsidRPr="001338D8">
        <w:t>The first step will demonstrate the potential of core technologies on and around the Moon. Key actions include:</w:t>
      </w:r>
    </w:p>
    <w:p w14:paraId="00000109" w14:textId="77777777" w:rsidR="006B7F5B" w:rsidRPr="001338D8" w:rsidRDefault="006B7F5B"/>
    <w:p w14:paraId="0000010A" w14:textId="77777777" w:rsidR="006B7F5B" w:rsidRPr="001338D8" w:rsidRDefault="00000000">
      <w:pPr>
        <w:numPr>
          <w:ilvl w:val="0"/>
          <w:numId w:val="5"/>
        </w:numPr>
      </w:pPr>
      <w:r w:rsidRPr="001338D8">
        <w:t>Laboratory demonstrations of ISRU for regolith processing and silicon production.</w:t>
      </w:r>
    </w:p>
    <w:p w14:paraId="0000010B" w14:textId="77777777" w:rsidR="006B7F5B" w:rsidRPr="001338D8" w:rsidRDefault="006B7F5B">
      <w:pPr>
        <w:ind w:left="720"/>
      </w:pPr>
    </w:p>
    <w:p w14:paraId="0000010C" w14:textId="77777777" w:rsidR="006B7F5B" w:rsidRPr="001338D8" w:rsidRDefault="00000000">
      <w:pPr>
        <w:numPr>
          <w:ilvl w:val="0"/>
          <w:numId w:val="5"/>
        </w:numPr>
      </w:pPr>
      <w:r w:rsidRPr="001338D8">
        <w:t>Development, testing and prototyping of robotic assembly systems and deployable lunar construction support systems.</w:t>
      </w:r>
    </w:p>
    <w:p w14:paraId="0000010D" w14:textId="77777777" w:rsidR="006B7F5B" w:rsidRPr="001338D8" w:rsidRDefault="006B7F5B">
      <w:pPr>
        <w:ind w:left="720"/>
      </w:pPr>
    </w:p>
    <w:p w14:paraId="0000010E" w14:textId="77777777" w:rsidR="006B7F5B" w:rsidRPr="001338D8" w:rsidRDefault="00000000">
      <w:pPr>
        <w:numPr>
          <w:ilvl w:val="0"/>
          <w:numId w:val="5"/>
        </w:numPr>
      </w:pPr>
      <w:r w:rsidRPr="001338D8">
        <w:t>Controlled ground-to-microwave power transmission to Earth-based rectennas.</w:t>
      </w:r>
    </w:p>
    <w:p w14:paraId="0000010F" w14:textId="77777777" w:rsidR="006B7F5B" w:rsidRPr="001338D8" w:rsidRDefault="006B7F5B">
      <w:pPr>
        <w:ind w:left="720"/>
      </w:pPr>
    </w:p>
    <w:p w14:paraId="00000110" w14:textId="7A2552EA" w:rsidR="006B7F5B" w:rsidRPr="001338D8" w:rsidRDefault="00000000">
      <w:pPr>
        <w:numPr>
          <w:ilvl w:val="0"/>
          <w:numId w:val="5"/>
        </w:numPr>
      </w:pPr>
      <w:r w:rsidRPr="001338D8">
        <w:t xml:space="preserve">Rectenna </w:t>
      </w:r>
      <w:r w:rsidR="000615C5" w:rsidRPr="001338D8">
        <w:t>sitting</w:t>
      </w:r>
      <w:r w:rsidRPr="001338D8">
        <w:t xml:space="preserve"> initial studies and environmental overview.</w:t>
      </w:r>
    </w:p>
    <w:p w14:paraId="00000111" w14:textId="77777777" w:rsidR="006B7F5B" w:rsidRPr="001338D8" w:rsidRDefault="006B7F5B">
      <w:pPr>
        <w:ind w:left="720"/>
      </w:pPr>
    </w:p>
    <w:p w14:paraId="00000112" w14:textId="77777777" w:rsidR="006B7F5B" w:rsidRPr="001338D8" w:rsidRDefault="00000000">
      <w:pPr>
        <w:numPr>
          <w:ilvl w:val="0"/>
          <w:numId w:val="5"/>
        </w:numPr>
      </w:pPr>
      <w:r w:rsidRPr="001338D8">
        <w:t>Efforts at the policy level during this period will concentrate on opening discussions at COPUOS and convening working groups to frame the Earth-Moon Energy Accord (EMEA).</w:t>
      </w:r>
    </w:p>
    <w:p w14:paraId="00000113" w14:textId="77777777" w:rsidR="006B7F5B" w:rsidRPr="001338D8" w:rsidRDefault="006B7F5B"/>
    <w:p w14:paraId="00000114" w14:textId="77777777" w:rsidR="006B7F5B" w:rsidRPr="001338D8" w:rsidRDefault="00000000">
      <w:pPr>
        <w:rPr>
          <w:b/>
        </w:rPr>
      </w:pPr>
      <w:r w:rsidRPr="001338D8">
        <w:rPr>
          <w:b/>
        </w:rPr>
        <w:t>9.2. Phase II:</w:t>
      </w:r>
    </w:p>
    <w:p w14:paraId="00000115" w14:textId="3EC370FE" w:rsidR="006B7F5B" w:rsidRPr="001338D8" w:rsidRDefault="00000000">
      <w:r w:rsidRPr="001338D8">
        <w:t xml:space="preserve"> Deployment on the Moon and Transmission </w:t>
      </w:r>
      <w:r w:rsidR="000615C5" w:rsidRPr="001338D8">
        <w:t>from</w:t>
      </w:r>
      <w:r w:rsidRPr="001338D8">
        <w:t xml:space="preserve"> the Moon to the Earth and Service Launch (6–15 years) - At this phase, hardware is deployed and tested in place. </w:t>
      </w:r>
    </w:p>
    <w:p w14:paraId="00000116" w14:textId="77777777" w:rsidR="006B7F5B" w:rsidRPr="001338D8" w:rsidRDefault="006B7F5B"/>
    <w:p w14:paraId="00000117" w14:textId="77777777" w:rsidR="006B7F5B" w:rsidRPr="001338D8" w:rsidRDefault="00000000">
      <w:pPr>
        <w:rPr>
          <w:u w:val="single"/>
        </w:rPr>
      </w:pPr>
      <w:r w:rsidRPr="001338D8">
        <w:rPr>
          <w:u w:val="single"/>
        </w:rPr>
        <w:t>Milestones include:</w:t>
      </w:r>
    </w:p>
    <w:p w14:paraId="00000118" w14:textId="77777777" w:rsidR="006B7F5B" w:rsidRPr="001338D8" w:rsidRDefault="006B7F5B"/>
    <w:p w14:paraId="00000119" w14:textId="77777777" w:rsidR="006B7F5B" w:rsidRPr="001338D8" w:rsidRDefault="00000000">
      <w:pPr>
        <w:numPr>
          <w:ilvl w:val="0"/>
          <w:numId w:val="2"/>
        </w:numPr>
      </w:pPr>
      <w:r w:rsidRPr="001338D8">
        <w:t>Transportation of ISRU plants and robotics to the Moon from Starship-class vehicles.</w:t>
      </w:r>
    </w:p>
    <w:p w14:paraId="0000011A" w14:textId="77777777" w:rsidR="006B7F5B" w:rsidRPr="001338D8" w:rsidRDefault="006B7F5B">
      <w:pPr>
        <w:ind w:left="720"/>
      </w:pPr>
    </w:p>
    <w:p w14:paraId="0000011B" w14:textId="77777777" w:rsidR="006B7F5B" w:rsidRPr="001338D8" w:rsidRDefault="00000000">
      <w:pPr>
        <w:numPr>
          <w:ilvl w:val="0"/>
          <w:numId w:val="2"/>
        </w:numPr>
      </w:pPr>
      <w:r w:rsidRPr="001338D8">
        <w:t>A pilot scale equatorial solar array and decentralized MGUs.</w:t>
      </w:r>
    </w:p>
    <w:p w14:paraId="0000011C" w14:textId="77777777" w:rsidR="006B7F5B" w:rsidRPr="001338D8" w:rsidRDefault="006B7F5B">
      <w:pPr>
        <w:ind w:left="720"/>
      </w:pPr>
    </w:p>
    <w:p w14:paraId="0000011D" w14:textId="2997DCEE" w:rsidR="006B7F5B" w:rsidRPr="001338D8" w:rsidRDefault="000615C5">
      <w:pPr>
        <w:numPr>
          <w:ilvl w:val="0"/>
          <w:numId w:val="2"/>
        </w:numPr>
      </w:pPr>
      <w:r w:rsidRPr="001338D8">
        <w:t>launched one or two geostationary radio relay satellites.</w:t>
      </w:r>
    </w:p>
    <w:p w14:paraId="0000011E" w14:textId="77777777" w:rsidR="006B7F5B" w:rsidRPr="001338D8" w:rsidRDefault="006B7F5B">
      <w:pPr>
        <w:ind w:left="720"/>
      </w:pPr>
    </w:p>
    <w:p w14:paraId="0000011F" w14:textId="142F82BE" w:rsidR="006B7F5B" w:rsidRPr="001338D8" w:rsidRDefault="00000000">
      <w:pPr>
        <w:numPr>
          <w:ilvl w:val="0"/>
          <w:numId w:val="2"/>
        </w:numPr>
      </w:pPr>
      <w:r w:rsidRPr="001338D8">
        <w:t xml:space="preserve">First </w:t>
      </w:r>
      <w:r w:rsidR="000615C5" w:rsidRPr="001338D8">
        <w:t>transmission</w:t>
      </w:r>
      <w:r w:rsidRPr="001338D8">
        <w:t> of energy from Moon to orbital relays and from relays to Earth.</w:t>
      </w:r>
    </w:p>
    <w:p w14:paraId="00000120" w14:textId="77777777" w:rsidR="006B7F5B" w:rsidRPr="001338D8" w:rsidRDefault="006B7F5B"/>
    <w:p w14:paraId="00000121" w14:textId="29C5D608" w:rsidR="006B7F5B" w:rsidRPr="001338D8" w:rsidRDefault="00000000">
      <w:r w:rsidRPr="001338D8">
        <w:t xml:space="preserve">Phased II will also </w:t>
      </w:r>
      <w:r w:rsidR="000615C5" w:rsidRPr="001338D8">
        <w:t>set up</w:t>
      </w:r>
      <w:r w:rsidRPr="001338D8">
        <w:t xml:space="preserve"> a similar network of ground stations and </w:t>
      </w:r>
      <w:r w:rsidR="000615C5" w:rsidRPr="001338D8">
        <w:t>kick</w:t>
      </w:r>
      <w:r w:rsidRPr="001338D8">
        <w:t xml:space="preserve"> into small scale power delivery to partner countries, or off-grid locations. International observers and mechanisms for mutual supervision will be incorporated in operational procedures.</w:t>
      </w:r>
    </w:p>
    <w:p w14:paraId="00000122" w14:textId="77777777" w:rsidR="006B7F5B" w:rsidRPr="001338D8" w:rsidRDefault="006B7F5B"/>
    <w:p w14:paraId="00000123" w14:textId="77777777" w:rsidR="006B7F5B" w:rsidRPr="001338D8" w:rsidRDefault="00000000">
      <w:pPr>
        <w:rPr>
          <w:b/>
        </w:rPr>
      </w:pPr>
      <w:r w:rsidRPr="001338D8">
        <w:rPr>
          <w:b/>
        </w:rPr>
        <w:t>9.3. Phase III: Full Scale Belt and Integration (Years 16–30)</w:t>
      </w:r>
    </w:p>
    <w:p w14:paraId="00000124" w14:textId="77777777" w:rsidR="006B7F5B" w:rsidRPr="001338D8" w:rsidRDefault="00000000">
      <w:r w:rsidRPr="001338D8">
        <w:t>Finally, autonomous construction systems scale the array around the lunar equator thereby providing power continuously to multiple geostationary relays. Eventually, thousands of rectenna sites could be spread around the world.</w:t>
      </w:r>
    </w:p>
    <w:p w14:paraId="00000125" w14:textId="77777777" w:rsidR="006B7F5B" w:rsidRPr="001338D8" w:rsidRDefault="006B7F5B"/>
    <w:p w14:paraId="00000126" w14:textId="77777777" w:rsidR="006B7F5B" w:rsidRPr="001338D8" w:rsidRDefault="00000000">
      <w:pPr>
        <w:rPr>
          <w:u w:val="single"/>
        </w:rPr>
      </w:pPr>
      <w:r w:rsidRPr="001338D8">
        <w:rPr>
          <w:u w:val="single"/>
        </w:rPr>
        <w:t>Tasks include:</w:t>
      </w:r>
    </w:p>
    <w:p w14:paraId="00000127" w14:textId="77777777" w:rsidR="006B7F5B" w:rsidRPr="001338D8" w:rsidRDefault="006B7F5B"/>
    <w:p w14:paraId="00000128" w14:textId="77777777" w:rsidR="006B7F5B" w:rsidRPr="001338D8" w:rsidRDefault="00000000">
      <w:pPr>
        <w:numPr>
          <w:ilvl w:val="0"/>
          <w:numId w:val="6"/>
        </w:numPr>
      </w:pPr>
      <w:r w:rsidRPr="001338D8">
        <w:t>Self-replicating robotics and the exponential growth of robotic colonies.</w:t>
      </w:r>
    </w:p>
    <w:p w14:paraId="00000129" w14:textId="77777777" w:rsidR="006B7F5B" w:rsidRPr="001338D8" w:rsidRDefault="006B7F5B">
      <w:pPr>
        <w:ind w:left="720"/>
      </w:pPr>
    </w:p>
    <w:p w14:paraId="0000012A" w14:textId="77777777" w:rsidR="006B7F5B" w:rsidRPr="001338D8" w:rsidRDefault="00000000">
      <w:pPr>
        <w:numPr>
          <w:ilvl w:val="0"/>
          <w:numId w:val="6"/>
        </w:numPr>
      </w:pPr>
      <w:r w:rsidRPr="001338D8">
        <w:t>Relay satellites in mass make and in orbit.</w:t>
      </w:r>
    </w:p>
    <w:p w14:paraId="0000012B" w14:textId="77777777" w:rsidR="006B7F5B" w:rsidRPr="001338D8" w:rsidRDefault="006B7F5B">
      <w:pPr>
        <w:ind w:left="720"/>
      </w:pPr>
    </w:p>
    <w:p w14:paraId="0000012C" w14:textId="1902B2B0" w:rsidR="006B7F5B" w:rsidRPr="001338D8" w:rsidRDefault="00000000">
      <w:pPr>
        <w:numPr>
          <w:ilvl w:val="0"/>
          <w:numId w:val="6"/>
        </w:numPr>
      </w:pPr>
      <w:r w:rsidRPr="001338D8">
        <w:t xml:space="preserve">The LSB output </w:t>
      </w:r>
      <w:r w:rsidR="000615C5" w:rsidRPr="001338D8">
        <w:t>is integrated</w:t>
      </w:r>
      <w:r w:rsidRPr="001338D8">
        <w:t xml:space="preserve"> </w:t>
      </w:r>
      <w:r w:rsidR="000615C5" w:rsidRPr="001338D8">
        <w:t>into</w:t>
      </w:r>
      <w:r w:rsidRPr="001338D8">
        <w:t xml:space="preserve"> global smart grids and clean energy markets.</w:t>
      </w:r>
    </w:p>
    <w:p w14:paraId="0000012D" w14:textId="77777777" w:rsidR="006B7F5B" w:rsidRPr="001338D8" w:rsidRDefault="006B7F5B"/>
    <w:p w14:paraId="0000012E" w14:textId="77777777" w:rsidR="006B7F5B" w:rsidRPr="001338D8" w:rsidRDefault="00000000">
      <w:pPr>
        <w:numPr>
          <w:ilvl w:val="0"/>
          <w:numId w:val="4"/>
        </w:numPr>
      </w:pPr>
      <w:r w:rsidRPr="001338D8">
        <w:t>Establishment of long-term maintenance, recycling, and deorbiting procedures.</w:t>
      </w:r>
    </w:p>
    <w:p w14:paraId="0000012F" w14:textId="77777777" w:rsidR="006B7F5B" w:rsidRPr="001338D8" w:rsidRDefault="006B7F5B"/>
    <w:p w14:paraId="00000130" w14:textId="77777777" w:rsidR="006B7F5B" w:rsidRPr="001338D8" w:rsidRDefault="00000000">
      <w:pPr>
        <w:rPr>
          <w:b/>
        </w:rPr>
      </w:pPr>
      <w:r w:rsidRPr="001338D8">
        <w:rPr>
          <w:b/>
        </w:rPr>
        <w:t>9.4. Future Research Areas</w:t>
      </w:r>
    </w:p>
    <w:p w14:paraId="00000131" w14:textId="77777777" w:rsidR="006B7F5B" w:rsidRPr="001338D8" w:rsidRDefault="00000000">
      <w:r w:rsidRPr="001338D8">
        <w:t>Areas for future research are:</w:t>
      </w:r>
    </w:p>
    <w:p w14:paraId="00000132" w14:textId="77777777" w:rsidR="006B7F5B" w:rsidRPr="001338D8" w:rsidRDefault="006B7F5B"/>
    <w:p w14:paraId="00000133" w14:textId="77777777" w:rsidR="006B7F5B" w:rsidRPr="001338D8" w:rsidRDefault="00000000">
      <w:pPr>
        <w:numPr>
          <w:ilvl w:val="0"/>
          <w:numId w:val="7"/>
        </w:numPr>
      </w:pPr>
      <w:r w:rsidRPr="001338D8">
        <w:t>Improved photovoltaics from lunar regolith.</w:t>
      </w:r>
    </w:p>
    <w:p w14:paraId="00000134" w14:textId="77777777" w:rsidR="006B7F5B" w:rsidRPr="001338D8" w:rsidRDefault="006B7F5B">
      <w:pPr>
        <w:ind w:left="720"/>
      </w:pPr>
    </w:p>
    <w:p w14:paraId="00000135" w14:textId="77777777" w:rsidR="006B7F5B" w:rsidRPr="001338D8" w:rsidRDefault="00000000">
      <w:pPr>
        <w:numPr>
          <w:ilvl w:val="0"/>
          <w:numId w:val="7"/>
        </w:numPr>
      </w:pPr>
      <w:r w:rsidRPr="001338D8">
        <w:t>Beamforming algorithms with guaranteed multi-node transmission accuracy.</w:t>
      </w:r>
    </w:p>
    <w:p w14:paraId="00000136" w14:textId="77777777" w:rsidR="006B7F5B" w:rsidRPr="001338D8" w:rsidRDefault="006B7F5B">
      <w:pPr>
        <w:ind w:left="720"/>
      </w:pPr>
    </w:p>
    <w:p w14:paraId="00000137" w14:textId="77777777" w:rsidR="006B7F5B" w:rsidRPr="001338D8" w:rsidRDefault="00000000">
      <w:pPr>
        <w:numPr>
          <w:ilvl w:val="0"/>
          <w:numId w:val="7"/>
        </w:numPr>
      </w:pPr>
      <w:r w:rsidRPr="001338D8">
        <w:t>Lunar dust containment for the duration of stay.</w:t>
      </w:r>
    </w:p>
    <w:p w14:paraId="00000138" w14:textId="77777777" w:rsidR="006B7F5B" w:rsidRPr="001338D8" w:rsidRDefault="006B7F5B">
      <w:pPr>
        <w:ind w:left="720"/>
      </w:pPr>
    </w:p>
    <w:p w14:paraId="00000139" w14:textId="77777777" w:rsidR="006B7F5B" w:rsidRPr="001338D8" w:rsidRDefault="00000000">
      <w:pPr>
        <w:numPr>
          <w:ilvl w:val="0"/>
          <w:numId w:val="7"/>
        </w:numPr>
      </w:pPr>
      <w:r w:rsidRPr="001338D8">
        <w:t>Models on public acceptance of microwave energy installations.</w:t>
      </w:r>
    </w:p>
    <w:p w14:paraId="0000013A" w14:textId="77777777" w:rsidR="006B7F5B" w:rsidRPr="001338D8" w:rsidRDefault="006B7F5B">
      <w:pPr>
        <w:ind w:left="720"/>
      </w:pPr>
    </w:p>
    <w:p w14:paraId="0000013B" w14:textId="77777777" w:rsidR="006B7F5B" w:rsidRPr="001338D8" w:rsidRDefault="00000000">
      <w:pPr>
        <w:numPr>
          <w:ilvl w:val="0"/>
          <w:numId w:val="7"/>
        </w:numPr>
      </w:pPr>
      <w:r w:rsidRPr="001338D8">
        <w:t>Risk models for space infrastructure investment.</w:t>
      </w:r>
    </w:p>
    <w:p w14:paraId="0000013C" w14:textId="77777777" w:rsidR="006B7F5B" w:rsidRPr="001338D8" w:rsidRDefault="006B7F5B"/>
    <w:p w14:paraId="0000013D" w14:textId="77777777" w:rsidR="006B7F5B" w:rsidRDefault="00000000">
      <w:r w:rsidRPr="001338D8">
        <w:t>In sum, the path to a Lunar Solar Belt is ambitious, but possible with continued support, public-private partnerships, multistakeholder collaboration, and global policy support. It is a nexus between space travel, renewable energy and international governance — setting the stage for a new era of planetary collaboration.</w:t>
      </w:r>
    </w:p>
    <w:p w14:paraId="245BB134" w14:textId="53D37267" w:rsidR="00E426B2" w:rsidRPr="00E426B2" w:rsidRDefault="00E426B2" w:rsidP="00E426B2">
      <w:pPr>
        <w:rPr>
          <w:lang w:val="en-US"/>
        </w:rPr>
      </w:pPr>
      <w:r w:rsidRPr="00E426B2">
        <w:rPr>
          <w:noProof/>
          <w:lang w:val="en-US"/>
        </w:rPr>
        <w:drawing>
          <wp:inline distT="0" distB="0" distL="0" distR="0" wp14:anchorId="36D855AD" wp14:editId="2A6B95B9">
            <wp:extent cx="5961888" cy="1863090"/>
            <wp:effectExtent l="0" t="0" r="1270" b="3810"/>
            <wp:docPr id="522772013" name="Picture 8" descr="A graph with green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772013" name="Picture 8" descr="A graph with green and black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5906" cy="1864346"/>
                    </a:xfrm>
                    <a:prstGeom prst="rect">
                      <a:avLst/>
                    </a:prstGeom>
                    <a:noFill/>
                    <a:ln>
                      <a:noFill/>
                    </a:ln>
                  </pic:spPr>
                </pic:pic>
              </a:graphicData>
            </a:graphic>
          </wp:inline>
        </w:drawing>
      </w:r>
    </w:p>
    <w:p w14:paraId="43B7C87D" w14:textId="77777777" w:rsidR="00E426B2" w:rsidRPr="001338D8" w:rsidRDefault="00E426B2"/>
    <w:p w14:paraId="0000013E" w14:textId="77777777" w:rsidR="006B7F5B" w:rsidRPr="001338D8" w:rsidRDefault="00000000">
      <w:pPr>
        <w:rPr>
          <w:b/>
        </w:rPr>
      </w:pPr>
      <w:r w:rsidRPr="001338D8">
        <w:rPr>
          <w:b/>
        </w:rPr>
        <w:br/>
      </w:r>
    </w:p>
    <w:p w14:paraId="0000013F" w14:textId="77777777" w:rsidR="006B7F5B" w:rsidRPr="001338D8" w:rsidRDefault="00000000">
      <w:pPr>
        <w:rPr>
          <w:b/>
        </w:rPr>
      </w:pPr>
      <w:r w:rsidRPr="001338D8">
        <w:rPr>
          <w:b/>
        </w:rPr>
        <w:t>10. Conclusion</w:t>
      </w:r>
      <w:r w:rsidRPr="001338D8">
        <w:rPr>
          <w:b/>
        </w:rPr>
        <w:br/>
      </w:r>
    </w:p>
    <w:p w14:paraId="00000140" w14:textId="632E672E" w:rsidR="006B7F5B" w:rsidRPr="001338D8" w:rsidRDefault="00000000">
      <w:pPr>
        <w:spacing w:before="240" w:after="240"/>
      </w:pPr>
      <w:r w:rsidRPr="001338D8">
        <w:t xml:space="preserve">A Lunar Solar Belt (LSB) is a change event in human history in its relationship to space, energy, and stewardship of the Earth’s climate and ecosystem. This feasibility study demonstrates the convergence of technological maturity, economic demand, and environmental need, which can justify the early deployment of a lunar solar power installation. The targets set by the LSB are not just a technical </w:t>
      </w:r>
      <w:r w:rsidR="000615C5" w:rsidRPr="001338D8">
        <w:t xml:space="preserve">goal, </w:t>
      </w:r>
      <w:r w:rsidRPr="001338D8">
        <w:t>it is a systems solution to one of the largest problems facing the world in the 21st century--a requirement for clean, reliable, and universally accessible energy.</w:t>
      </w:r>
    </w:p>
    <w:p w14:paraId="00000141" w14:textId="5D713010" w:rsidR="006B7F5B" w:rsidRPr="001338D8" w:rsidRDefault="00000000">
      <w:pPr>
        <w:spacing w:before="240" w:after="240"/>
      </w:pPr>
      <w:r w:rsidRPr="001338D8">
        <w:t xml:space="preserve">Technically, the least significant bit is now in the ballpark. Technologies once purely speculative have become substantially real—specifically, in-situ resource utilization (ISRU), autonomous robotics, thin-film photovoltaic production, and microwave power transmission. Paired with the lower cost </w:t>
      </w:r>
      <w:r w:rsidR="000615C5" w:rsidRPr="001338D8">
        <w:t>of</w:t>
      </w:r>
      <w:r w:rsidRPr="001338D8">
        <w:t xml:space="preserve"> space and greater payloads of heavy-lift vehicles, the stage is set for a large-scale, sustainable, off-Earth energy system. The advantages of the Moon’s </w:t>
      </w:r>
      <w:r w:rsidRPr="001338D8">
        <w:lastRenderedPageBreak/>
        <w:t xml:space="preserve">equatorial zone are its predictable sunlight </w:t>
      </w:r>
      <w:r w:rsidR="000615C5" w:rsidRPr="001338D8">
        <w:t>cyclic</w:t>
      </w:r>
      <w:r w:rsidRPr="001338D8">
        <w:t>, stable surface environment, and availability of native materials for constructing solar infrastructure. Together, these factors lower cost, increase resilience, and reduce the potential hazards with ground- or orbit-based energy production.</w:t>
      </w:r>
    </w:p>
    <w:p w14:paraId="00000142" w14:textId="37C74DB8" w:rsidR="006B7F5B" w:rsidRPr="001338D8" w:rsidRDefault="00000000">
      <w:pPr>
        <w:spacing w:before="240" w:after="240"/>
      </w:pPr>
      <w:r w:rsidRPr="001338D8">
        <w:t xml:space="preserve">In economic terms the LSB holds great potential to redefine baseload power. With a </w:t>
      </w:r>
      <w:r w:rsidR="000615C5" w:rsidRPr="001338D8">
        <w:t>30-year</w:t>
      </w:r>
      <w:r w:rsidRPr="001338D8">
        <w:t xml:space="preserve"> EROI of 7:1 to 10:1, the system competes well with ground-based solar and nuclear power, and without the </w:t>
      </w:r>
      <w:r w:rsidR="000615C5" w:rsidRPr="001338D8">
        <w:t>downsides</w:t>
      </w:r>
      <w:r w:rsidRPr="001338D8">
        <w:t xml:space="preserve"> of land use, environmental </w:t>
      </w:r>
      <w:r w:rsidR="000615C5" w:rsidRPr="001338D8">
        <w:t>damage</w:t>
      </w:r>
      <w:r w:rsidRPr="001338D8">
        <w:t xml:space="preserve">, and radioactive waste. And </w:t>
      </w:r>
      <w:r w:rsidR="000615C5" w:rsidRPr="001338D8">
        <w:t>finally,</w:t>
      </w:r>
      <w:r w:rsidRPr="001338D8">
        <w:t xml:space="preserve"> the LSB also introduces fresh sources of revenue by selling electricity, carbon credits, and grid stabilization services. It also acts, in some ways, as a sort of financial model for long-duration space projects, showing how long-term returns can justify high, up-front investment, particularly when shared among a number of international consortia.</w:t>
      </w:r>
    </w:p>
    <w:p w14:paraId="00000143" w14:textId="77777777" w:rsidR="006B7F5B" w:rsidRPr="001338D8" w:rsidRDefault="006B7F5B">
      <w:pPr>
        <w:spacing w:before="240" w:after="240"/>
      </w:pPr>
    </w:p>
    <w:p w14:paraId="00000144" w14:textId="77777777" w:rsidR="006B7F5B" w:rsidRPr="001338D8" w:rsidRDefault="00000000">
      <w:pPr>
        <w:spacing w:before="240" w:after="240"/>
      </w:pPr>
      <w:r w:rsidRPr="001338D8">
        <w:t>Environmentally, the LSB is unique in its ability to provide gigawatts to terawatts with no greenhouse gases, no chemical contamination, and no ecological footprint. Their ERAs on the ground of the Earth are unobtrusive and can share use with natural or agricultural lands. On the Moon, stringent rules of engagement and robotic accuracy minimize geological disruption and preserve the cultural and scientific significance of the lunar surface. By creating power outside of our biosphere and sending it back to us, safe and directed, the LSB re-imagine what sustainable infrastructure can be.</w:t>
      </w:r>
    </w:p>
    <w:p w14:paraId="00000145" w14:textId="156B858B" w:rsidR="006B7F5B" w:rsidRPr="001338D8" w:rsidRDefault="00000000">
      <w:pPr>
        <w:spacing w:before="240" w:after="240"/>
      </w:pPr>
      <w:r w:rsidRPr="001338D8">
        <w:t xml:space="preserve">Politically and diplomatically, the LSB is a once in a lifetime chance to construct the posture of space not as a grotesque side where we are fighting, but an opportunity to build a </w:t>
      </w:r>
      <w:r w:rsidR="000615C5" w:rsidRPr="001338D8">
        <w:t>shared common</w:t>
      </w:r>
      <w:r w:rsidRPr="001338D8">
        <w:t>. But it also defies established legal traditions, especially in the areas of resource exploitation and commerce in space. To make the LSB effective and dependable, a new international legal framework is necessary—based on the idea of an Earth-Moon Energy Accord (EMEA). Such a treaty would bring together those who agree on not appropriating, on transparency, on equitable share and protection of environment. It would also create verification procedures, dispute resolution procedures, and the sharing with developing countries of power generated with LSB.</w:t>
      </w:r>
    </w:p>
    <w:p w14:paraId="00000146" w14:textId="61B28FD6" w:rsidR="006B7F5B" w:rsidRPr="001338D8" w:rsidRDefault="00000000">
      <w:pPr>
        <w:spacing w:before="240" w:after="240"/>
      </w:pPr>
      <w:r w:rsidRPr="001338D8">
        <w:t xml:space="preserve">There is also a symbolic and cultural value attached to how the LSB is implemented. It is reclaiming the Moon, not just as an object of scientific curiosity or geopolitical rivalry, but as a working component in the Earth’s energy ecosystem. It motivates a new generation of researchers, engineers, </w:t>
      </w:r>
      <w:r w:rsidR="000615C5" w:rsidRPr="001338D8">
        <w:t>policymakers</w:t>
      </w:r>
      <w:r w:rsidRPr="001338D8">
        <w:t>, and educators to treat space as a realm of practical utility. It makes us question the unimaginable with concrete results — lighting homes, charging vehicles, powering towns — with energy born from beyond the Earth.</w:t>
      </w:r>
    </w:p>
    <w:p w14:paraId="00000147" w14:textId="77777777" w:rsidR="006B7F5B" w:rsidRPr="001338D8" w:rsidRDefault="006B7F5B">
      <w:pPr>
        <w:spacing w:before="240" w:after="240"/>
      </w:pPr>
    </w:p>
    <w:p w14:paraId="00000148" w14:textId="5ABCFE8D" w:rsidR="006B7F5B" w:rsidRPr="001338D8" w:rsidRDefault="00000000">
      <w:pPr>
        <w:spacing w:before="240" w:after="240"/>
      </w:pPr>
      <w:r w:rsidRPr="001338D8">
        <w:t xml:space="preserve">However, challenges remain. Cross-disciplinary integration of technologies, debris management in space, public perception of microwave safety, and the fair governance of the world are also other domains that require more research and multilateral discussion. Pilot projects, simulated </w:t>
      </w:r>
      <w:r w:rsidRPr="001338D8">
        <w:lastRenderedPageBreak/>
        <w:t xml:space="preserve">models, and public education will be among the camera-ready work that could de-risk and secure social license for such a bold venture. The LSB </w:t>
      </w:r>
      <w:r w:rsidR="000615C5" w:rsidRPr="001338D8">
        <w:t>does not</w:t>
      </w:r>
      <w:r w:rsidRPr="001338D8">
        <w:t xml:space="preserve"> have a future based on engineering—that requires forward-thinking leadership, continual funding, and a dedication to communicative morals.</w:t>
      </w:r>
    </w:p>
    <w:p w14:paraId="00000149" w14:textId="77777777" w:rsidR="006B7F5B" w:rsidRPr="001338D8" w:rsidRDefault="00000000">
      <w:pPr>
        <w:spacing w:before="240" w:after="240"/>
      </w:pPr>
      <w:r w:rsidRPr="001338D8">
        <w:t>In summary, the Lunar Solar Belt is the defining audacious response to a planet-wide call to action. It envisions a time when our lunar neighbor is a symbol of sustainability for life on Earth and when space and environmental stewardship co-evolve. As climate chaos, energy insecurity and geopolitical fracturing grip the Earth, the LSB provides a way not only to power — but to planetary unity, equity and resilience. By this intentional action and shared commitment, the Moon can do more than just light our nights—it can shed light on the way ahead for all humanity.</w:t>
      </w:r>
    </w:p>
    <w:p w14:paraId="0000014A" w14:textId="77777777" w:rsidR="006B7F5B" w:rsidRDefault="006B7F5B">
      <w:pPr>
        <w:spacing w:before="240" w:after="240"/>
      </w:pPr>
    </w:p>
    <w:p w14:paraId="3038244E" w14:textId="77777777" w:rsidR="00E82FA9" w:rsidRPr="00E82FA9" w:rsidRDefault="00E82FA9" w:rsidP="00E82FA9">
      <w:pPr>
        <w:spacing w:before="240" w:after="240"/>
        <w:rPr>
          <w:b/>
          <w:bCs/>
        </w:rPr>
      </w:pPr>
      <w:r w:rsidRPr="00E82FA9">
        <w:rPr>
          <w:b/>
          <w:bCs/>
        </w:rPr>
        <w:t>Supplementary Materials</w:t>
      </w:r>
    </w:p>
    <w:p w14:paraId="3D7BEB90" w14:textId="33A499CE" w:rsidR="00E82FA9" w:rsidRDefault="00E82FA9" w:rsidP="00E82FA9">
      <w:pPr>
        <w:spacing w:before="240" w:after="240"/>
      </w:pPr>
      <w:r>
        <w:t>Figure S1: Lunar Solar Belt system architecture schematic</w:t>
      </w:r>
    </w:p>
    <w:p w14:paraId="2799C689" w14:textId="4CAD3207" w:rsidR="00E82FA9" w:rsidRDefault="00E82FA9" w:rsidP="00E82FA9">
      <w:pPr>
        <w:spacing w:before="240" w:after="240"/>
      </w:pPr>
      <w:r>
        <w:t>Figure S2: Orbital relay network and beam trajectory simulation</w:t>
      </w:r>
    </w:p>
    <w:p w14:paraId="417E3D66" w14:textId="2B65073E" w:rsidR="00E82FA9" w:rsidRDefault="00E82FA9" w:rsidP="00E82FA9">
      <w:pPr>
        <w:spacing w:before="240" w:after="240"/>
      </w:pPr>
      <w:r>
        <w:t>Table S1: Summary of ISRU and microwave transmission subsystems</w:t>
      </w:r>
    </w:p>
    <w:p w14:paraId="436C63EF" w14:textId="5DD3A10D" w:rsidR="00E82FA9" w:rsidRDefault="00E82FA9" w:rsidP="00E82FA9">
      <w:pPr>
        <w:spacing w:before="240" w:after="240"/>
      </w:pPr>
      <w:r>
        <w:t>Table S2: Economic sensitivity analysis under multiple launch cost scenarios</w:t>
      </w:r>
    </w:p>
    <w:p w14:paraId="2A5AE4C7" w14:textId="77777777" w:rsidR="00E82FA9" w:rsidRDefault="00E82FA9" w:rsidP="00E82FA9">
      <w:pPr>
        <w:spacing w:before="240" w:after="240"/>
      </w:pPr>
    </w:p>
    <w:p w14:paraId="3042966D" w14:textId="77777777" w:rsidR="00E82FA9" w:rsidRPr="00E82FA9" w:rsidRDefault="00E82FA9" w:rsidP="00E82FA9">
      <w:pPr>
        <w:spacing w:before="240" w:after="240"/>
        <w:rPr>
          <w:b/>
          <w:bCs/>
        </w:rPr>
      </w:pPr>
      <w:r w:rsidRPr="00E82FA9">
        <w:rPr>
          <w:b/>
          <w:bCs/>
        </w:rPr>
        <w:t>Author Contributions</w:t>
      </w:r>
    </w:p>
    <w:p w14:paraId="05919BD5" w14:textId="77777777" w:rsidR="00E82FA9" w:rsidRDefault="00E82FA9" w:rsidP="00E82FA9">
      <w:pPr>
        <w:spacing w:before="240" w:after="240"/>
      </w:pPr>
      <w:r>
        <w:t>Conceptualization, V.T.; Methodology, V.T.; Software, V.T.; Validation, V.T.;</w:t>
      </w:r>
    </w:p>
    <w:p w14:paraId="3E13F1C0" w14:textId="77777777" w:rsidR="00E82FA9" w:rsidRDefault="00E82FA9" w:rsidP="00E82FA9">
      <w:pPr>
        <w:spacing w:before="240" w:after="240"/>
      </w:pPr>
      <w:r>
        <w:t>Formal Analysis, V.T.; Investigation, V.T.; Resources, V.T.; Data Curation, V.T.;</w:t>
      </w:r>
    </w:p>
    <w:p w14:paraId="1E2E3582" w14:textId="77777777" w:rsidR="00E82FA9" w:rsidRDefault="00E82FA9" w:rsidP="00E82FA9">
      <w:pPr>
        <w:spacing w:before="240" w:after="240"/>
      </w:pPr>
      <w:r>
        <w:t>Writing – Original Draft Preparation, V.T.; Writing – Review &amp; Editing, V.T.;</w:t>
      </w:r>
    </w:p>
    <w:p w14:paraId="6DC77F23" w14:textId="77777777" w:rsidR="00E82FA9" w:rsidRDefault="00E82FA9" w:rsidP="00E82FA9">
      <w:pPr>
        <w:spacing w:before="240" w:after="240"/>
      </w:pPr>
      <w:r>
        <w:t>Visualization, V.T.; Supervision, V.T.; Project Administration, V.T.; Funding Acquisition, V.T.</w:t>
      </w:r>
    </w:p>
    <w:p w14:paraId="1965436D" w14:textId="77777777" w:rsidR="00E82FA9" w:rsidRDefault="00E82FA9" w:rsidP="00E82FA9">
      <w:pPr>
        <w:spacing w:before="240" w:after="240"/>
      </w:pPr>
    </w:p>
    <w:p w14:paraId="5CD85AAD" w14:textId="77777777" w:rsidR="00E82FA9" w:rsidRPr="00E82FA9" w:rsidRDefault="00E82FA9" w:rsidP="00E82FA9">
      <w:pPr>
        <w:spacing w:before="240" w:after="240"/>
        <w:rPr>
          <w:b/>
          <w:bCs/>
        </w:rPr>
      </w:pPr>
      <w:r w:rsidRPr="00E82FA9">
        <w:rPr>
          <w:b/>
          <w:bCs/>
        </w:rPr>
        <w:t>Funding</w:t>
      </w:r>
    </w:p>
    <w:p w14:paraId="731B93E2" w14:textId="77777777" w:rsidR="00E82FA9" w:rsidRDefault="00E82FA9" w:rsidP="00E82FA9">
      <w:pPr>
        <w:spacing w:before="240" w:after="240"/>
      </w:pPr>
      <w:r>
        <w:t>This research received no external funding. The APC was funded by MountBay Energy LLC.</w:t>
      </w:r>
    </w:p>
    <w:p w14:paraId="04053AAB" w14:textId="77777777" w:rsidR="00E82FA9" w:rsidRDefault="00E82FA9" w:rsidP="00E82FA9">
      <w:pPr>
        <w:spacing w:before="240" w:after="240"/>
      </w:pPr>
    </w:p>
    <w:p w14:paraId="57A86572" w14:textId="77777777" w:rsidR="00E82FA9" w:rsidRPr="00E82FA9" w:rsidRDefault="00E82FA9" w:rsidP="00E82FA9">
      <w:pPr>
        <w:spacing w:before="240" w:after="240"/>
        <w:rPr>
          <w:b/>
          <w:bCs/>
        </w:rPr>
      </w:pPr>
      <w:r w:rsidRPr="00E82FA9">
        <w:rPr>
          <w:b/>
          <w:bCs/>
        </w:rPr>
        <w:t>Data Availability Statement</w:t>
      </w:r>
    </w:p>
    <w:p w14:paraId="72393EDE" w14:textId="77777777" w:rsidR="00E82FA9" w:rsidRDefault="00E82FA9" w:rsidP="00E82FA9">
      <w:pPr>
        <w:spacing w:before="240" w:after="240"/>
      </w:pPr>
      <w:r>
        <w:lastRenderedPageBreak/>
        <w:t>All referenced datasets and technology frameworks are derived from public domain resources including NASA, ESA, arXiv, and related academic and government sources. No proprietary data was used. Analytical models, simulation code, and system diagrams may be provided by the author upon request. Due to sensitivity and speculative infrastructure modeling, raw data is not publicly posted but available under academic collaboration terms.</w:t>
      </w:r>
    </w:p>
    <w:p w14:paraId="7E591F41" w14:textId="36D05AD4" w:rsidR="00E82FA9" w:rsidRPr="00E82FA9" w:rsidRDefault="00E82FA9" w:rsidP="00E82FA9">
      <w:pPr>
        <w:spacing w:before="240" w:after="240"/>
        <w:rPr>
          <w:b/>
          <w:bCs/>
        </w:rPr>
      </w:pPr>
      <w:r w:rsidRPr="00E82FA9">
        <w:rPr>
          <w:b/>
          <w:bCs/>
        </w:rPr>
        <w:t>Acknowledgments</w:t>
      </w:r>
    </w:p>
    <w:p w14:paraId="735643E0" w14:textId="39D7D787" w:rsidR="00E82FA9" w:rsidRDefault="00E82FA9" w:rsidP="00E82FA9">
      <w:pPr>
        <w:spacing w:before="240" w:after="240"/>
      </w:pPr>
      <w:r>
        <w:t xml:space="preserve">The author extends appreciation to MountBay Energy’s MCRD Lab for supporting the speculative modeling of lunar-based solar infrastructure. </w:t>
      </w:r>
    </w:p>
    <w:p w14:paraId="4F76D3D2" w14:textId="77777777" w:rsidR="00E82FA9" w:rsidRPr="00E82FA9" w:rsidRDefault="00E82FA9" w:rsidP="00E82FA9">
      <w:pPr>
        <w:spacing w:before="240" w:after="240"/>
        <w:rPr>
          <w:b/>
          <w:bCs/>
        </w:rPr>
      </w:pPr>
      <w:r w:rsidRPr="00E82FA9">
        <w:rPr>
          <w:b/>
          <w:bCs/>
        </w:rPr>
        <w:t>Conflicts of Interest</w:t>
      </w:r>
    </w:p>
    <w:p w14:paraId="53A43F73" w14:textId="1CA90B6A" w:rsidR="00E82FA9" w:rsidRDefault="00E82FA9" w:rsidP="00E82FA9">
      <w:pPr>
        <w:spacing w:before="240" w:after="240"/>
      </w:pPr>
      <w:r>
        <w:t>The author declares no conflict of interest. The sponsors had no role in the design, execution, analysis, interpretation, or publication of this work.</w:t>
      </w:r>
    </w:p>
    <w:p w14:paraId="5D9CC091" w14:textId="77777777" w:rsidR="00E82FA9" w:rsidRPr="001338D8" w:rsidRDefault="00E82FA9">
      <w:pPr>
        <w:spacing w:before="240" w:after="240"/>
      </w:pPr>
    </w:p>
    <w:p w14:paraId="0000014B" w14:textId="77777777" w:rsidR="006B7F5B" w:rsidRPr="001338D8" w:rsidRDefault="00000000">
      <w:r w:rsidRPr="001338D8">
        <w:rPr>
          <w:b/>
        </w:rPr>
        <w:t>References</w:t>
      </w:r>
      <w:r w:rsidRPr="001338D8">
        <w:t>:</w:t>
      </w:r>
    </w:p>
    <w:p w14:paraId="0000014C" w14:textId="77777777" w:rsidR="006B7F5B" w:rsidRPr="001338D8" w:rsidRDefault="006B7F5B">
      <w:pPr>
        <w:spacing w:before="240" w:after="240"/>
      </w:pPr>
    </w:p>
    <w:p w14:paraId="0000014D" w14:textId="3FDDD976" w:rsidR="006B7F5B" w:rsidRPr="001338D8" w:rsidRDefault="00000000">
      <w:pPr>
        <w:numPr>
          <w:ilvl w:val="0"/>
          <w:numId w:val="1"/>
        </w:numPr>
        <w:spacing w:before="240"/>
      </w:pPr>
      <w:r w:rsidRPr="001338D8">
        <w:t>Abiri, B., Arya, M., Bohn, F., Fikes, A., Gal</w:t>
      </w:r>
      <w:r w:rsidRPr="001338D8">
        <w:rPr>
          <w:rFonts w:ascii="Cambria Math" w:hAnsi="Cambria Math" w:cs="Cambria Math"/>
        </w:rPr>
        <w:t>‑</w:t>
      </w:r>
      <w:r w:rsidR="000615C5" w:rsidRPr="001338D8">
        <w:t>Katzir</w:t>
      </w:r>
      <w:r w:rsidRPr="001338D8">
        <w:t xml:space="preserve">, M., Gdoutos, E., … Hajimiri, A. (2022). </w:t>
      </w:r>
      <w:r w:rsidRPr="001338D8">
        <w:rPr>
          <w:i/>
        </w:rPr>
        <w:t>A lightweight space-based solar power generation and transmission satellite</w:t>
      </w:r>
      <w:r w:rsidRPr="001338D8">
        <w:t>. arXiv.</w:t>
      </w:r>
      <w:hyperlink r:id="rId12">
        <w:r w:rsidR="006B7F5B" w:rsidRPr="001338D8">
          <w:t xml:space="preserve"> </w:t>
        </w:r>
      </w:hyperlink>
      <w:hyperlink r:id="rId13">
        <w:r w:rsidR="006B7F5B" w:rsidRPr="001338D8">
          <w:rPr>
            <w:color w:val="1155CC"/>
            <w:u w:val="single"/>
          </w:rPr>
          <w:t>https://doi.org/10.48550/arXiv.2206.08373</w:t>
        </w:r>
      </w:hyperlink>
      <w:r w:rsidRPr="001338D8">
        <w:t xml:space="preserve"> (</w:t>
      </w:r>
      <w:hyperlink r:id="rId14">
        <w:r w:rsidR="006B7F5B" w:rsidRPr="001338D8">
          <w:rPr>
            <w:color w:val="1155CC"/>
            <w:u w:val="single"/>
          </w:rPr>
          <w:t>arxiv.org</w:t>
        </w:r>
      </w:hyperlink>
      <w:r w:rsidRPr="001338D8">
        <w:t>)</w:t>
      </w:r>
      <w:r w:rsidRPr="001338D8">
        <w:br/>
      </w:r>
    </w:p>
    <w:p w14:paraId="0000014E" w14:textId="77777777" w:rsidR="006B7F5B" w:rsidRPr="001338D8" w:rsidRDefault="00000000">
      <w:pPr>
        <w:numPr>
          <w:ilvl w:val="0"/>
          <w:numId w:val="1"/>
        </w:numPr>
      </w:pPr>
      <w:r w:rsidRPr="001338D8">
        <w:t>Anderson, S., Sansom, E., Shober, P., Hartig, B., Devillepoix, H., &amp; Towner, M. (2021). The proposed silicate</w:t>
      </w:r>
      <w:r w:rsidRPr="001338D8">
        <w:rPr>
          <w:rFonts w:ascii="Cambria Math" w:hAnsi="Cambria Math" w:cs="Cambria Math"/>
        </w:rPr>
        <w:t>‑</w:t>
      </w:r>
      <w:r w:rsidRPr="001338D8">
        <w:t xml:space="preserve">sulfuric acid process: Mineral processing for in situ resource utilization. </w:t>
      </w:r>
      <w:r w:rsidRPr="001338D8">
        <w:rPr>
          <w:i/>
        </w:rPr>
        <w:t>arXiv</w:t>
      </w:r>
      <w:r w:rsidRPr="001338D8">
        <w:t>.</w:t>
      </w:r>
      <w:hyperlink r:id="rId15">
        <w:r w:rsidR="006B7F5B" w:rsidRPr="001338D8">
          <w:t xml:space="preserve"> </w:t>
        </w:r>
      </w:hyperlink>
      <w:hyperlink r:id="rId16">
        <w:r w:rsidR="006B7F5B" w:rsidRPr="001338D8">
          <w:rPr>
            <w:color w:val="1155CC"/>
            <w:u w:val="single"/>
          </w:rPr>
          <w:t>https://doi.org/10.48550/arXiv.2107.05872</w:t>
        </w:r>
      </w:hyperlink>
      <w:r w:rsidRPr="001338D8">
        <w:t xml:space="preserve"> (</w:t>
      </w:r>
      <w:hyperlink r:id="rId17">
        <w:r w:rsidR="006B7F5B" w:rsidRPr="001338D8">
          <w:rPr>
            <w:color w:val="1155CC"/>
            <w:u w:val="single"/>
          </w:rPr>
          <w:t>arxiv.org</w:t>
        </w:r>
      </w:hyperlink>
      <w:r w:rsidRPr="001338D8">
        <w:t>)</w:t>
      </w:r>
      <w:r w:rsidRPr="001338D8">
        <w:br/>
      </w:r>
    </w:p>
    <w:p w14:paraId="0000014F" w14:textId="77777777" w:rsidR="006B7F5B" w:rsidRPr="001338D8" w:rsidRDefault="00000000">
      <w:pPr>
        <w:numPr>
          <w:ilvl w:val="0"/>
          <w:numId w:val="1"/>
        </w:numPr>
      </w:pPr>
      <w:r w:rsidRPr="001338D8">
        <w:t>Azami, M., Kazemi, Z., Moazen, S., Dubé, M., Potvin, M.</w:t>
      </w:r>
      <w:r w:rsidRPr="001338D8">
        <w:rPr>
          <w:rFonts w:ascii="Cambria Math" w:hAnsi="Cambria Math" w:cs="Cambria Math"/>
        </w:rPr>
        <w:t>‑</w:t>
      </w:r>
      <w:r w:rsidRPr="001338D8">
        <w:t xml:space="preserve">J., &amp; Skonieczny, K. (2024). A comprehensive review of lunar-based manufacturing and construction. </w:t>
      </w:r>
      <w:r w:rsidRPr="001338D8">
        <w:rPr>
          <w:i/>
        </w:rPr>
        <w:t>arXiv</w:t>
      </w:r>
      <w:r w:rsidRPr="001338D8">
        <w:t>.</w:t>
      </w:r>
      <w:hyperlink r:id="rId18">
        <w:r w:rsidR="006B7F5B" w:rsidRPr="001338D8">
          <w:t xml:space="preserve"> </w:t>
        </w:r>
      </w:hyperlink>
      <w:hyperlink r:id="rId19">
        <w:r w:rsidR="006B7F5B" w:rsidRPr="001338D8">
          <w:rPr>
            <w:color w:val="1155CC"/>
            <w:u w:val="single"/>
          </w:rPr>
          <w:t>https://doi.org/10.48550/arXiv.2408.05823</w:t>
        </w:r>
      </w:hyperlink>
      <w:r w:rsidRPr="001338D8">
        <w:t xml:space="preserve"> (</w:t>
      </w:r>
      <w:hyperlink r:id="rId20">
        <w:r w:rsidR="006B7F5B" w:rsidRPr="001338D8">
          <w:rPr>
            <w:color w:val="1155CC"/>
            <w:u w:val="single"/>
          </w:rPr>
          <w:t>arxiv.org</w:t>
        </w:r>
      </w:hyperlink>
      <w:r w:rsidRPr="001338D8">
        <w:t>)</w:t>
      </w:r>
      <w:r w:rsidRPr="001338D8">
        <w:br/>
      </w:r>
    </w:p>
    <w:p w14:paraId="00000150" w14:textId="77777777" w:rsidR="006B7F5B" w:rsidRPr="001338D8" w:rsidRDefault="00000000">
      <w:pPr>
        <w:numPr>
          <w:ilvl w:val="0"/>
          <w:numId w:val="1"/>
        </w:numPr>
      </w:pPr>
      <w:r w:rsidRPr="001338D8">
        <w:t xml:space="preserve">Barker, D. C. (2019, July 15). Lunar resources: From finding to making demand. In </w:t>
      </w:r>
      <w:r w:rsidRPr="001338D8">
        <w:rPr>
          <w:i/>
        </w:rPr>
        <w:t>Lunar ISRU 2019: Developing a new space economy</w:t>
      </w:r>
      <w:r w:rsidRPr="001338D8">
        <w:t>.</w:t>
      </w:r>
      <w:r w:rsidRPr="001338D8">
        <w:br/>
      </w:r>
    </w:p>
    <w:p w14:paraId="00000151" w14:textId="77777777" w:rsidR="006B7F5B" w:rsidRPr="001338D8" w:rsidRDefault="00000000">
      <w:pPr>
        <w:numPr>
          <w:ilvl w:val="0"/>
          <w:numId w:val="1"/>
        </w:numPr>
      </w:pPr>
      <w:r w:rsidRPr="001338D8">
        <w:t xml:space="preserve">Brown, W. C. (1975). The history of power transmission by radio waves. </w:t>
      </w:r>
      <w:r w:rsidRPr="001338D8">
        <w:rPr>
          <w:i/>
        </w:rPr>
        <w:t>IEEE Transactions on Microwave Theory and Techniques</w:t>
      </w:r>
      <w:r w:rsidRPr="001338D8">
        <w:t>, 23(3), 130–141.</w:t>
      </w:r>
      <w:r w:rsidRPr="001338D8">
        <w:br/>
      </w:r>
    </w:p>
    <w:p w14:paraId="00000152" w14:textId="77777777" w:rsidR="006B7F5B" w:rsidRPr="001338D8" w:rsidRDefault="00000000">
      <w:pPr>
        <w:numPr>
          <w:ilvl w:val="0"/>
          <w:numId w:val="1"/>
        </w:numPr>
      </w:pPr>
      <w:r w:rsidRPr="001338D8">
        <w:t xml:space="preserve">Crawford, I. A. (2015). Lunar resources: A review. </w:t>
      </w:r>
      <w:r w:rsidRPr="001338D8">
        <w:rPr>
          <w:i/>
        </w:rPr>
        <w:t>Progress in Physical Geography, 39</w:t>
      </w:r>
      <w:r w:rsidRPr="001338D8">
        <w:t>(2), 137–167. (</w:t>
      </w:r>
      <w:hyperlink r:id="rId21">
        <w:r w:rsidR="006B7F5B" w:rsidRPr="001338D8">
          <w:rPr>
            <w:color w:val="1155CC"/>
            <w:u w:val="single"/>
          </w:rPr>
          <w:t>en.wikipedia.org</w:t>
        </w:r>
      </w:hyperlink>
      <w:r w:rsidRPr="001338D8">
        <w:t>,</w:t>
      </w:r>
      <w:hyperlink r:id="rId22">
        <w:r w:rsidR="006B7F5B" w:rsidRPr="001338D8">
          <w:t xml:space="preserve"> </w:t>
        </w:r>
      </w:hyperlink>
      <w:hyperlink r:id="rId23">
        <w:r w:rsidR="006B7F5B" w:rsidRPr="001338D8">
          <w:rPr>
            <w:color w:val="1155CC"/>
            <w:u w:val="single"/>
          </w:rPr>
          <w:t>en.wikipedia.org</w:t>
        </w:r>
      </w:hyperlink>
      <w:r w:rsidRPr="001338D8">
        <w:t>)</w:t>
      </w:r>
      <w:r w:rsidRPr="001338D8">
        <w:br/>
      </w:r>
    </w:p>
    <w:p w14:paraId="00000153" w14:textId="77777777" w:rsidR="006B7F5B" w:rsidRPr="001338D8" w:rsidRDefault="00000000">
      <w:pPr>
        <w:numPr>
          <w:ilvl w:val="0"/>
          <w:numId w:val="1"/>
        </w:numPr>
      </w:pPr>
      <w:r w:rsidRPr="001338D8">
        <w:lastRenderedPageBreak/>
        <w:t>Dickenson, R. M. (1975). Evaluation of a microwave high</w:t>
      </w:r>
      <w:r w:rsidRPr="001338D8">
        <w:rPr>
          <w:rFonts w:ascii="Cambria Math" w:hAnsi="Cambria Math" w:cs="Cambria Math"/>
        </w:rPr>
        <w:t>‑</w:t>
      </w:r>
      <w:r w:rsidRPr="001338D8">
        <w:t xml:space="preserve">power reception-conversion array for wireless power transmission. </w:t>
      </w:r>
      <w:r w:rsidRPr="001338D8">
        <w:rPr>
          <w:i/>
        </w:rPr>
        <w:t>NASA Jet Propulsion Laboratory</w:t>
      </w:r>
      <w:r w:rsidRPr="001338D8">
        <w:t>.</w:t>
      </w:r>
      <w:r w:rsidRPr="001338D8">
        <w:br/>
      </w:r>
    </w:p>
    <w:p w14:paraId="00000154" w14:textId="77777777" w:rsidR="006B7F5B" w:rsidRPr="001338D8" w:rsidRDefault="00000000">
      <w:pPr>
        <w:numPr>
          <w:ilvl w:val="0"/>
          <w:numId w:val="1"/>
        </w:numPr>
      </w:pPr>
      <w:r w:rsidRPr="001338D8">
        <w:t xml:space="preserve">Dudenhoefer, J. E., &amp; George, P. J. (2004). Space Solar Power Satellite technology development at the Glenn Research Center: An overview. </w:t>
      </w:r>
      <w:r w:rsidRPr="001338D8">
        <w:rPr>
          <w:i/>
        </w:rPr>
        <w:t>NASA Technical Report</w:t>
      </w:r>
      <w:r w:rsidRPr="001338D8">
        <w:t>.</w:t>
      </w:r>
      <w:r w:rsidRPr="001338D8">
        <w:br/>
      </w:r>
    </w:p>
    <w:p w14:paraId="00000155" w14:textId="77777777" w:rsidR="006B7F5B" w:rsidRPr="001338D8" w:rsidRDefault="00000000">
      <w:pPr>
        <w:numPr>
          <w:ilvl w:val="0"/>
          <w:numId w:val="1"/>
        </w:numPr>
      </w:pPr>
      <w:r w:rsidRPr="001338D8">
        <w:t>Glaser, P. E. (1973). Method and apparatus for converting solar radiation to electrical power (U.S. Patent No. 3,781,647).</w:t>
      </w:r>
      <w:r w:rsidRPr="001338D8">
        <w:br/>
      </w:r>
    </w:p>
    <w:p w14:paraId="00000156" w14:textId="77777777" w:rsidR="006B7F5B" w:rsidRPr="001338D8" w:rsidRDefault="00000000">
      <w:pPr>
        <w:numPr>
          <w:ilvl w:val="0"/>
          <w:numId w:val="1"/>
        </w:numPr>
      </w:pPr>
      <w:r w:rsidRPr="001338D8">
        <w:t xml:space="preserve">Landis, G. A. (2005, December 1). Materials refining for solar array production on the Moon. </w:t>
      </w:r>
      <w:r w:rsidRPr="001338D8">
        <w:rPr>
          <w:i/>
        </w:rPr>
        <w:t>NASA Publication</w:t>
      </w:r>
      <w:r w:rsidRPr="001338D8">
        <w:t>.</w:t>
      </w:r>
      <w:r w:rsidRPr="001338D8">
        <w:br/>
      </w:r>
    </w:p>
    <w:p w14:paraId="00000157" w14:textId="77777777" w:rsidR="006B7F5B" w:rsidRPr="001338D8" w:rsidRDefault="00000000">
      <w:pPr>
        <w:numPr>
          <w:ilvl w:val="0"/>
          <w:numId w:val="1"/>
        </w:numPr>
      </w:pPr>
      <w:r w:rsidRPr="001338D8">
        <w:t xml:space="preserve">Ng, A. (2025). </w:t>
      </w:r>
      <w:r w:rsidRPr="001338D8">
        <w:rPr>
          <w:i/>
        </w:rPr>
        <w:t>Scalable and sustainable microwave power beaming to mobile platforms</w:t>
      </w:r>
      <w:r w:rsidRPr="001338D8">
        <w:t xml:space="preserve"> [Master’s thesis, MIT]. MIT DSpace. (</w:t>
      </w:r>
      <w:hyperlink r:id="rId24">
        <w:r w:rsidR="006B7F5B" w:rsidRPr="001338D8">
          <w:rPr>
            <w:color w:val="1155CC"/>
            <w:u w:val="single"/>
          </w:rPr>
          <w:t>dspace.mit.edu</w:t>
        </w:r>
      </w:hyperlink>
      <w:r w:rsidRPr="001338D8">
        <w:t>,</w:t>
      </w:r>
      <w:hyperlink r:id="rId25">
        <w:r w:rsidR="006B7F5B" w:rsidRPr="001338D8">
          <w:t xml:space="preserve"> </w:t>
        </w:r>
      </w:hyperlink>
      <w:hyperlink r:id="rId26">
        <w:r w:rsidR="006B7F5B" w:rsidRPr="001338D8">
          <w:rPr>
            <w:color w:val="1155CC"/>
            <w:u w:val="single"/>
          </w:rPr>
          <w:t>en.wikipedia.org</w:t>
        </w:r>
      </w:hyperlink>
      <w:r w:rsidRPr="001338D8">
        <w:t>,</w:t>
      </w:r>
      <w:hyperlink r:id="rId27">
        <w:r w:rsidR="006B7F5B" w:rsidRPr="001338D8">
          <w:t xml:space="preserve"> </w:t>
        </w:r>
      </w:hyperlink>
      <w:hyperlink r:id="rId28">
        <w:r w:rsidR="006B7F5B" w:rsidRPr="001338D8">
          <w:rPr>
            <w:color w:val="1155CC"/>
            <w:u w:val="single"/>
          </w:rPr>
          <w:t>en.wikipedia.org</w:t>
        </w:r>
      </w:hyperlink>
      <w:r w:rsidRPr="001338D8">
        <w:t>)</w:t>
      </w:r>
      <w:r w:rsidRPr="001338D8">
        <w:br/>
      </w:r>
    </w:p>
    <w:p w14:paraId="00000158" w14:textId="77777777" w:rsidR="006B7F5B" w:rsidRPr="001338D8" w:rsidRDefault="00000000">
      <w:pPr>
        <w:numPr>
          <w:ilvl w:val="0"/>
          <w:numId w:val="1"/>
        </w:numPr>
      </w:pPr>
      <w:r w:rsidRPr="001338D8">
        <w:t xml:space="preserve">Nozette, S., Lichtenberg, C. L., Spudis, P., Bonner, R., &amp; Ort, W. (1996). The Clementine bistatic radar experiment. </w:t>
      </w:r>
      <w:r w:rsidRPr="001338D8">
        <w:rPr>
          <w:i/>
        </w:rPr>
        <w:t>Science, 274</w:t>
      </w:r>
      <w:r w:rsidRPr="001338D8">
        <w:t>(5289), 1495–1498.</w:t>
      </w:r>
      <w:r w:rsidRPr="001338D8">
        <w:br/>
      </w:r>
    </w:p>
    <w:p w14:paraId="00000159" w14:textId="77777777" w:rsidR="006B7F5B" w:rsidRPr="001338D8" w:rsidRDefault="00000000">
      <w:pPr>
        <w:numPr>
          <w:ilvl w:val="0"/>
          <w:numId w:val="1"/>
        </w:numPr>
      </w:pPr>
      <w:r w:rsidRPr="001338D8">
        <w:t xml:space="preserve">Sanders, G. B., &amp; Larson, W. E. (2010). Integration of in-situ resource utilization into lunar/Mars exploration through field analogs. </w:t>
      </w:r>
      <w:r w:rsidRPr="001338D8">
        <w:rPr>
          <w:i/>
        </w:rPr>
        <w:t>NASA Johnson Space Center Report</w:t>
      </w:r>
      <w:r w:rsidRPr="001338D8">
        <w:t>.</w:t>
      </w:r>
      <w:r w:rsidRPr="001338D8">
        <w:br/>
      </w:r>
    </w:p>
    <w:p w14:paraId="0000015A" w14:textId="77777777" w:rsidR="006B7F5B" w:rsidRPr="001338D8" w:rsidRDefault="00000000">
      <w:pPr>
        <w:numPr>
          <w:ilvl w:val="0"/>
          <w:numId w:val="1"/>
        </w:numPr>
      </w:pPr>
      <w:r w:rsidRPr="001338D8">
        <w:t>Sasaki, S., Tanaka, K., &amp; Maki, K.</w:t>
      </w:r>
      <w:r w:rsidRPr="001338D8">
        <w:rPr>
          <w:rFonts w:ascii="Cambria Math" w:hAnsi="Cambria Math" w:cs="Cambria Math"/>
        </w:rPr>
        <w:t>‑</w:t>
      </w:r>
      <w:r w:rsidRPr="001338D8">
        <w:t xml:space="preserve">I. (2013). Microwave power transmission technologies for solar power satellites. </w:t>
      </w:r>
      <w:r w:rsidRPr="001338D8">
        <w:rPr>
          <w:i/>
        </w:rPr>
        <w:t>IEEE Proceedings</w:t>
      </w:r>
      <w:r w:rsidRPr="001338D8">
        <w:t>.</w:t>
      </w:r>
      <w:r w:rsidRPr="001338D8">
        <w:br/>
      </w:r>
    </w:p>
    <w:p w14:paraId="0000015B" w14:textId="77777777" w:rsidR="006B7F5B" w:rsidRPr="001338D8" w:rsidRDefault="00000000">
      <w:pPr>
        <w:numPr>
          <w:ilvl w:val="0"/>
          <w:numId w:val="1"/>
        </w:numPr>
      </w:pPr>
      <w:r w:rsidRPr="001338D8">
        <w:t xml:space="preserve">Shinohara, N. (2010). Wireless power transmission for solar power satellite (draft). In </w:t>
      </w:r>
      <w:r w:rsidRPr="001338D8">
        <w:rPr>
          <w:i/>
        </w:rPr>
        <w:t>Space Solar Power Workshop, Georgia Institute of Technology</w:t>
      </w:r>
      <w:r w:rsidRPr="001338D8">
        <w:t>.</w:t>
      </w:r>
      <w:r w:rsidRPr="001338D8">
        <w:br/>
      </w:r>
    </w:p>
    <w:p w14:paraId="0000015C" w14:textId="77777777" w:rsidR="006B7F5B" w:rsidRPr="001338D8" w:rsidRDefault="00000000">
      <w:pPr>
        <w:numPr>
          <w:ilvl w:val="0"/>
          <w:numId w:val="1"/>
        </w:numPr>
      </w:pPr>
      <w:r w:rsidRPr="001338D8">
        <w:t xml:space="preserve">Spudis, P. D. (n.d.). Lunar resources: Unlocking the space frontier. </w:t>
      </w:r>
      <w:r w:rsidRPr="001338D8">
        <w:rPr>
          <w:i/>
        </w:rPr>
        <w:t>Ad Astra/National Space Society</w:t>
      </w:r>
      <w:r w:rsidRPr="001338D8">
        <w:t>.</w:t>
      </w:r>
      <w:r w:rsidRPr="001338D8">
        <w:br/>
      </w:r>
    </w:p>
    <w:p w14:paraId="0000015D" w14:textId="77777777" w:rsidR="006B7F5B" w:rsidRPr="001338D8" w:rsidRDefault="00000000">
      <w:pPr>
        <w:numPr>
          <w:ilvl w:val="0"/>
          <w:numId w:val="1"/>
        </w:numPr>
      </w:pPr>
      <w:r w:rsidRPr="001338D8">
        <w:t xml:space="preserve">Speyerer, E. J., &amp; Robinson, M. S. (2017). Persistently illuminated regions at the lunar poles: Ideal sites for future exploration. </w:t>
      </w:r>
      <w:r w:rsidRPr="001338D8">
        <w:rPr>
          <w:i/>
        </w:rPr>
        <w:t>Icarus, 283</w:t>
      </w:r>
      <w:r w:rsidRPr="001338D8">
        <w:t>, 2–27.</w:t>
      </w:r>
      <w:r w:rsidRPr="001338D8">
        <w:br/>
      </w:r>
    </w:p>
    <w:p w14:paraId="0000015E" w14:textId="77777777" w:rsidR="006B7F5B" w:rsidRPr="001338D8" w:rsidRDefault="00000000">
      <w:pPr>
        <w:numPr>
          <w:ilvl w:val="0"/>
          <w:numId w:val="1"/>
        </w:numPr>
      </w:pPr>
      <w:r w:rsidRPr="001338D8">
        <w:t xml:space="preserve">Sercel, J. C. (2021, May 10). Sun Flower: Systems design and technology maturation of a sustainable lunar power generation architecture. </w:t>
      </w:r>
      <w:r w:rsidRPr="001338D8">
        <w:rPr>
          <w:i/>
        </w:rPr>
        <w:t>SBIR Proposal</w:t>
      </w:r>
      <w:r w:rsidRPr="001338D8">
        <w:t>.</w:t>
      </w:r>
      <w:r w:rsidRPr="001338D8">
        <w:br/>
      </w:r>
    </w:p>
    <w:p w14:paraId="0000015F" w14:textId="77777777" w:rsidR="006B7F5B" w:rsidRPr="001338D8" w:rsidRDefault="00000000">
      <w:pPr>
        <w:numPr>
          <w:ilvl w:val="0"/>
          <w:numId w:val="1"/>
        </w:numPr>
      </w:pPr>
      <w:r w:rsidRPr="001338D8">
        <w:t>Sercel, J. C. (2023, May 5). Worker Bee™: Solar</w:t>
      </w:r>
      <w:r w:rsidRPr="001338D8">
        <w:rPr>
          <w:rFonts w:ascii="Cambria Math" w:hAnsi="Cambria Math" w:cs="Cambria Math"/>
        </w:rPr>
        <w:t>‑</w:t>
      </w:r>
      <w:r w:rsidRPr="001338D8">
        <w:t xml:space="preserve">thermal space vehicle for cislunar mobility and logistics. </w:t>
      </w:r>
      <w:r w:rsidRPr="001338D8">
        <w:rPr>
          <w:i/>
        </w:rPr>
        <w:t>SBIR Proposal</w:t>
      </w:r>
      <w:r w:rsidRPr="001338D8">
        <w:t>.</w:t>
      </w:r>
      <w:r w:rsidRPr="001338D8">
        <w:br/>
      </w:r>
    </w:p>
    <w:p w14:paraId="00000160" w14:textId="77777777" w:rsidR="006B7F5B" w:rsidRPr="001338D8" w:rsidRDefault="00000000">
      <w:pPr>
        <w:numPr>
          <w:ilvl w:val="0"/>
          <w:numId w:val="1"/>
        </w:numPr>
      </w:pPr>
      <w:r w:rsidRPr="001338D8">
        <w:t xml:space="preserve">Sercel, J. C., Peterson, C. E., French, J. R., Longman, A., &amp; Love, S. G. (2018). </w:t>
      </w:r>
      <w:r w:rsidRPr="001338D8">
        <w:rPr>
          <w:i/>
        </w:rPr>
        <w:t>IEEE Aerospace Conference</w:t>
      </w:r>
      <w:r w:rsidRPr="001338D8">
        <w:t>.</w:t>
      </w:r>
      <w:r w:rsidRPr="001338D8">
        <w:br/>
      </w:r>
    </w:p>
    <w:p w14:paraId="00000161" w14:textId="77777777" w:rsidR="006B7F5B" w:rsidRPr="001338D8" w:rsidRDefault="00000000">
      <w:pPr>
        <w:numPr>
          <w:ilvl w:val="0"/>
          <w:numId w:val="1"/>
        </w:numPr>
      </w:pPr>
      <w:r w:rsidRPr="001338D8">
        <w:lastRenderedPageBreak/>
        <w:t>Sercel, J. C., &amp; Mitchell, A. (2022, August 16). Space mission energy management architecture (U.S. Patent 11,414,219).</w:t>
      </w:r>
      <w:r w:rsidRPr="001338D8">
        <w:br/>
      </w:r>
    </w:p>
    <w:p w14:paraId="00000162" w14:textId="77777777" w:rsidR="006B7F5B" w:rsidRPr="001338D8" w:rsidRDefault="00000000">
      <w:pPr>
        <w:numPr>
          <w:ilvl w:val="0"/>
          <w:numId w:val="1"/>
        </w:numPr>
      </w:pPr>
      <w:r w:rsidRPr="001338D8">
        <w:t xml:space="preserve">Shimizu Corporation. (2013, November 28). Japanese corporation proposes huge lunar power station. </w:t>
      </w:r>
      <w:r w:rsidRPr="001338D8">
        <w:rPr>
          <w:i/>
        </w:rPr>
        <w:t>Wired</w:t>
      </w:r>
      <w:r w:rsidRPr="001338D8">
        <w:t>. (</w:t>
      </w:r>
      <w:hyperlink r:id="rId29">
        <w:r w:rsidR="006B7F5B" w:rsidRPr="001338D8">
          <w:rPr>
            <w:color w:val="1155CC"/>
            <w:u w:val="single"/>
          </w:rPr>
          <w:t>en.wikipedia.org</w:t>
        </w:r>
      </w:hyperlink>
      <w:r w:rsidRPr="001338D8">
        <w:t>,</w:t>
      </w:r>
      <w:hyperlink r:id="rId30">
        <w:r w:rsidR="006B7F5B" w:rsidRPr="001338D8">
          <w:t xml:space="preserve"> </w:t>
        </w:r>
      </w:hyperlink>
      <w:hyperlink r:id="rId31">
        <w:r w:rsidR="006B7F5B" w:rsidRPr="001338D8">
          <w:rPr>
            <w:color w:val="1155CC"/>
            <w:u w:val="single"/>
          </w:rPr>
          <w:t>en.wikipedia.org</w:t>
        </w:r>
      </w:hyperlink>
      <w:r w:rsidRPr="001338D8">
        <w:t>,</w:t>
      </w:r>
      <w:hyperlink r:id="rId32">
        <w:r w:rsidR="006B7F5B" w:rsidRPr="001338D8">
          <w:t xml:space="preserve"> </w:t>
        </w:r>
      </w:hyperlink>
      <w:hyperlink r:id="rId33">
        <w:r w:rsidR="006B7F5B" w:rsidRPr="001338D8">
          <w:rPr>
            <w:color w:val="1155CC"/>
            <w:u w:val="single"/>
          </w:rPr>
          <w:t>en.wikipedia.org</w:t>
        </w:r>
      </w:hyperlink>
      <w:r w:rsidRPr="001338D8">
        <w:t>,</w:t>
      </w:r>
      <w:hyperlink r:id="rId34">
        <w:r w:rsidR="006B7F5B" w:rsidRPr="001338D8">
          <w:t xml:space="preserve"> </w:t>
        </w:r>
      </w:hyperlink>
      <w:hyperlink r:id="rId35">
        <w:r w:rsidR="006B7F5B" w:rsidRPr="001338D8">
          <w:rPr>
            <w:color w:val="1155CC"/>
            <w:u w:val="single"/>
          </w:rPr>
          <w:t>en.wikipedia.org</w:t>
        </w:r>
      </w:hyperlink>
      <w:r w:rsidRPr="001338D8">
        <w:t>,</w:t>
      </w:r>
      <w:hyperlink r:id="rId36">
        <w:r w:rsidR="006B7F5B" w:rsidRPr="001338D8">
          <w:t xml:space="preserve"> </w:t>
        </w:r>
      </w:hyperlink>
      <w:hyperlink r:id="rId37">
        <w:r w:rsidR="006B7F5B" w:rsidRPr="001338D8">
          <w:rPr>
            <w:color w:val="1155CC"/>
            <w:u w:val="single"/>
          </w:rPr>
          <w:t>wired.com</w:t>
        </w:r>
      </w:hyperlink>
      <w:r w:rsidRPr="001338D8">
        <w:t>)</w:t>
      </w:r>
      <w:r w:rsidRPr="001338D8">
        <w:br/>
      </w:r>
    </w:p>
    <w:p w14:paraId="00000163" w14:textId="77777777" w:rsidR="006B7F5B" w:rsidRPr="001338D8" w:rsidRDefault="00000000">
      <w:pPr>
        <w:numPr>
          <w:ilvl w:val="0"/>
          <w:numId w:val="1"/>
        </w:numPr>
      </w:pPr>
      <w:r w:rsidRPr="001338D8">
        <w:t xml:space="preserve">Spudis, P. (2004, November 17). We could draw on unlimited materials and energy... </w:t>
      </w:r>
      <w:r w:rsidRPr="001338D8">
        <w:rPr>
          <w:i/>
        </w:rPr>
        <w:t>Wired</w:t>
      </w:r>
      <w:r w:rsidRPr="001338D8">
        <w:t>. (</w:t>
      </w:r>
      <w:hyperlink r:id="rId38">
        <w:r w:rsidR="006B7F5B" w:rsidRPr="001338D8">
          <w:rPr>
            <w:color w:val="1155CC"/>
            <w:u w:val="single"/>
          </w:rPr>
          <w:t>wired.com</w:t>
        </w:r>
      </w:hyperlink>
      <w:r w:rsidRPr="001338D8">
        <w:t>)</w:t>
      </w:r>
      <w:r w:rsidRPr="001338D8">
        <w:br/>
      </w:r>
    </w:p>
    <w:p w14:paraId="00000164" w14:textId="77777777" w:rsidR="006B7F5B" w:rsidRPr="001338D8" w:rsidRDefault="00000000">
      <w:pPr>
        <w:numPr>
          <w:ilvl w:val="0"/>
          <w:numId w:val="1"/>
        </w:numPr>
      </w:pPr>
      <w:r w:rsidRPr="001338D8">
        <w:t xml:space="preserve">Swinhard, G. (1983, June 14). Lunar base or space station? </w:t>
      </w:r>
      <w:r w:rsidRPr="001338D8">
        <w:rPr>
          <w:i/>
        </w:rPr>
        <w:t>Wired</w:t>
      </w:r>
      <w:r w:rsidRPr="001338D8">
        <w:t>. (</w:t>
      </w:r>
      <w:hyperlink r:id="rId39">
        <w:r w:rsidR="006B7F5B" w:rsidRPr="001338D8">
          <w:rPr>
            <w:color w:val="1155CC"/>
            <w:u w:val="single"/>
          </w:rPr>
          <w:t>wired.com</w:t>
        </w:r>
      </w:hyperlink>
      <w:r w:rsidRPr="001338D8">
        <w:t>)</w:t>
      </w:r>
      <w:r w:rsidRPr="001338D8">
        <w:br/>
      </w:r>
    </w:p>
    <w:p w14:paraId="00000165" w14:textId="77777777" w:rsidR="006B7F5B" w:rsidRPr="001338D8" w:rsidRDefault="00000000">
      <w:pPr>
        <w:numPr>
          <w:ilvl w:val="0"/>
          <w:numId w:val="1"/>
        </w:numPr>
      </w:pPr>
      <w:r w:rsidRPr="001338D8">
        <w:t xml:space="preserve">Liu, P., &amp; Reddy, R. G. (2009, January 9). Extraction of metals and oxygen from lunar soil. </w:t>
      </w:r>
      <w:r w:rsidRPr="001338D8">
        <w:rPr>
          <w:i/>
        </w:rPr>
        <w:t>University of Alabama Technical Report</w:t>
      </w:r>
      <w:r w:rsidRPr="001338D8">
        <w:t>.</w:t>
      </w:r>
      <w:r w:rsidRPr="001338D8">
        <w:br/>
      </w:r>
    </w:p>
    <w:p w14:paraId="00000166" w14:textId="77777777" w:rsidR="006B7F5B" w:rsidRPr="001338D8" w:rsidRDefault="00000000">
      <w:pPr>
        <w:numPr>
          <w:ilvl w:val="0"/>
          <w:numId w:val="1"/>
        </w:numPr>
      </w:pPr>
      <w:r w:rsidRPr="001338D8">
        <w:t xml:space="preserve">Azami et al. (2024). Lunar-based manufacturing and construction... </w:t>
      </w:r>
      <w:r w:rsidRPr="001338D8">
        <w:rPr>
          <w:i/>
        </w:rPr>
        <w:t>arXiv</w:t>
      </w:r>
      <w:r w:rsidRPr="001338D8">
        <w:t>. (citation duplicates #3 for editorial acknowledgement) (</w:t>
      </w:r>
      <w:hyperlink r:id="rId40">
        <w:r w:rsidR="006B7F5B" w:rsidRPr="001338D8">
          <w:rPr>
            <w:color w:val="1155CC"/>
            <w:u w:val="single"/>
          </w:rPr>
          <w:t>en.wikipedia.org</w:t>
        </w:r>
      </w:hyperlink>
      <w:r w:rsidRPr="001338D8">
        <w:t>,</w:t>
      </w:r>
      <w:hyperlink r:id="rId41">
        <w:r w:rsidR="006B7F5B" w:rsidRPr="001338D8">
          <w:t xml:space="preserve"> </w:t>
        </w:r>
      </w:hyperlink>
      <w:hyperlink r:id="rId42">
        <w:r w:rsidR="006B7F5B" w:rsidRPr="001338D8">
          <w:rPr>
            <w:color w:val="1155CC"/>
            <w:u w:val="single"/>
          </w:rPr>
          <w:t>arxiv.org</w:t>
        </w:r>
      </w:hyperlink>
      <w:r w:rsidRPr="001338D8">
        <w:t>)</w:t>
      </w:r>
      <w:r w:rsidRPr="001338D8">
        <w:br/>
      </w:r>
    </w:p>
    <w:p w14:paraId="00000167" w14:textId="77777777" w:rsidR="006B7F5B" w:rsidRPr="001338D8" w:rsidRDefault="00000000">
      <w:pPr>
        <w:numPr>
          <w:ilvl w:val="0"/>
          <w:numId w:val="1"/>
        </w:numPr>
      </w:pPr>
      <w:r w:rsidRPr="001338D8">
        <w:t xml:space="preserve">Harvard, C. (2020). Concentrated solar driven in-situ resource utilization on the Moon. </w:t>
      </w:r>
      <w:r w:rsidRPr="001338D8">
        <w:rPr>
          <w:i/>
        </w:rPr>
        <w:t>AGU Abstract</w:t>
      </w:r>
      <w:r w:rsidRPr="001338D8">
        <w:t>. (</w:t>
      </w:r>
      <w:hyperlink r:id="rId43">
        <w:r w:rsidR="006B7F5B" w:rsidRPr="001338D8">
          <w:rPr>
            <w:color w:val="1155CC"/>
            <w:u w:val="single"/>
          </w:rPr>
          <w:t>ui.adsabs.harvard.edu</w:t>
        </w:r>
      </w:hyperlink>
      <w:r w:rsidRPr="001338D8">
        <w:t>)</w:t>
      </w:r>
      <w:r w:rsidRPr="001338D8">
        <w:br/>
      </w:r>
    </w:p>
    <w:p w14:paraId="00000168" w14:textId="77777777" w:rsidR="006B7F5B" w:rsidRPr="001338D8" w:rsidRDefault="00000000">
      <w:pPr>
        <w:numPr>
          <w:ilvl w:val="0"/>
          <w:numId w:val="1"/>
        </w:numPr>
      </w:pPr>
      <w:r w:rsidRPr="001338D8">
        <w:t xml:space="preserve">Khoshnevis, B. (2012). ISRU-based robotic construction technologies for lunar. </w:t>
      </w:r>
      <w:r w:rsidRPr="001338D8">
        <w:rPr>
          <w:i/>
        </w:rPr>
        <w:t>NASA NIAC Report</w:t>
      </w:r>
      <w:r w:rsidRPr="001338D8">
        <w:t>. (</w:t>
      </w:r>
      <w:hyperlink r:id="rId44">
        <w:r w:rsidR="006B7F5B" w:rsidRPr="001338D8">
          <w:rPr>
            <w:color w:val="1155CC"/>
            <w:u w:val="single"/>
          </w:rPr>
          <w:t>nasa.gov</w:t>
        </w:r>
      </w:hyperlink>
      <w:r w:rsidRPr="001338D8">
        <w:t>)</w:t>
      </w:r>
      <w:r w:rsidRPr="001338D8">
        <w:br/>
      </w:r>
    </w:p>
    <w:p w14:paraId="00000169" w14:textId="77777777" w:rsidR="006B7F5B" w:rsidRPr="001338D8" w:rsidRDefault="00000000">
      <w:pPr>
        <w:numPr>
          <w:ilvl w:val="0"/>
          <w:numId w:val="1"/>
        </w:numPr>
      </w:pPr>
      <w:r w:rsidRPr="001338D8">
        <w:t xml:space="preserve">Crawford, I. A., Lu, Y., &amp; Reddy, R. G. (2012). Moon and likely initial in situ resource utilization applications. </w:t>
      </w:r>
      <w:r w:rsidRPr="001338D8">
        <w:rPr>
          <w:i/>
        </w:rPr>
        <w:t>Planetary and Space Science, 74</w:t>
      </w:r>
      <w:r w:rsidRPr="001338D8">
        <w:t>, 42–48. (</w:t>
      </w:r>
      <w:hyperlink r:id="rId45">
        <w:r w:rsidR="006B7F5B" w:rsidRPr="001338D8">
          <w:rPr>
            <w:color w:val="1155CC"/>
            <w:u w:val="single"/>
          </w:rPr>
          <w:t>en.wikipedia.org</w:t>
        </w:r>
      </w:hyperlink>
      <w:r w:rsidRPr="001338D8">
        <w:t>)</w:t>
      </w:r>
      <w:r w:rsidRPr="001338D8">
        <w:br/>
      </w:r>
    </w:p>
    <w:p w14:paraId="0000016A" w14:textId="77777777" w:rsidR="006B7F5B" w:rsidRPr="001338D8" w:rsidRDefault="00000000">
      <w:pPr>
        <w:numPr>
          <w:ilvl w:val="0"/>
          <w:numId w:val="1"/>
        </w:numPr>
      </w:pPr>
      <w:r w:rsidRPr="001338D8">
        <w:t>Gkaravela, E., &amp; Chen, H. (2025). Logistics analysis for lunar post</w:t>
      </w:r>
      <w:r w:rsidRPr="001338D8">
        <w:rPr>
          <w:rFonts w:ascii="Cambria Math" w:hAnsi="Cambria Math" w:cs="Cambria Math"/>
        </w:rPr>
        <w:t>‑</w:t>
      </w:r>
      <w:r w:rsidRPr="001338D8">
        <w:t xml:space="preserve">mission disposal. </w:t>
      </w:r>
      <w:r w:rsidRPr="001338D8">
        <w:rPr>
          <w:i/>
        </w:rPr>
        <w:t>arXiv</w:t>
      </w:r>
      <w:r w:rsidRPr="001338D8">
        <w:t>.</w:t>
      </w:r>
      <w:hyperlink r:id="rId46">
        <w:r w:rsidR="006B7F5B" w:rsidRPr="001338D8">
          <w:t xml:space="preserve"> </w:t>
        </w:r>
      </w:hyperlink>
      <w:hyperlink r:id="rId47">
        <w:r w:rsidR="006B7F5B" w:rsidRPr="001338D8">
          <w:rPr>
            <w:color w:val="1155CC"/>
            <w:u w:val="single"/>
          </w:rPr>
          <w:t>https://doi.org/10.48550/arXiv.2502.13679</w:t>
        </w:r>
      </w:hyperlink>
      <w:r w:rsidRPr="001338D8">
        <w:t xml:space="preserve"> (</w:t>
      </w:r>
      <w:hyperlink r:id="rId48">
        <w:r w:rsidR="006B7F5B" w:rsidRPr="001338D8">
          <w:rPr>
            <w:color w:val="1155CC"/>
            <w:u w:val="single"/>
          </w:rPr>
          <w:t>arxiv.org</w:t>
        </w:r>
      </w:hyperlink>
      <w:r w:rsidRPr="001338D8">
        <w:t>)</w:t>
      </w:r>
      <w:r w:rsidRPr="001338D8">
        <w:br/>
      </w:r>
    </w:p>
    <w:p w14:paraId="0000016B" w14:textId="77777777" w:rsidR="006B7F5B" w:rsidRPr="001338D8" w:rsidRDefault="00000000">
      <w:pPr>
        <w:numPr>
          <w:ilvl w:val="0"/>
          <w:numId w:val="1"/>
        </w:numPr>
      </w:pPr>
      <w:r w:rsidRPr="001338D8">
        <w:t xml:space="preserve">GCU Team. (2024). </w:t>
      </w:r>
      <w:r w:rsidRPr="001338D8">
        <w:rPr>
          <w:i/>
        </w:rPr>
        <w:t>META</w:t>
      </w:r>
      <w:r w:rsidRPr="001338D8">
        <w:rPr>
          <w:rFonts w:ascii="Cambria Math" w:hAnsi="Cambria Math" w:cs="Cambria Math"/>
          <w:i/>
        </w:rPr>
        <w:t>‑</w:t>
      </w:r>
      <w:r w:rsidRPr="001338D8">
        <w:rPr>
          <w:i/>
        </w:rPr>
        <w:t>LUNA: Disruptive ISRU for building future solar power satellites</w:t>
      </w:r>
      <w:r w:rsidRPr="001338D8">
        <w:t xml:space="preserve"> [Conference paper]. GCU Research Online. (</w:t>
      </w:r>
      <w:hyperlink r:id="rId49">
        <w:r w:rsidR="006B7F5B" w:rsidRPr="001338D8">
          <w:rPr>
            <w:color w:val="1155CC"/>
            <w:u w:val="single"/>
          </w:rPr>
          <w:t>researchgate.net</w:t>
        </w:r>
      </w:hyperlink>
      <w:r w:rsidRPr="001338D8">
        <w:t>)</w:t>
      </w:r>
      <w:r w:rsidRPr="001338D8">
        <w:br/>
      </w:r>
    </w:p>
    <w:p w14:paraId="0000016C" w14:textId="77777777" w:rsidR="006B7F5B" w:rsidRPr="001338D8" w:rsidRDefault="00000000">
      <w:pPr>
        <w:numPr>
          <w:ilvl w:val="0"/>
          <w:numId w:val="1"/>
        </w:numPr>
      </w:pPr>
      <w:r w:rsidRPr="001338D8">
        <w:t xml:space="preserve">Spj Science Team. (2023). Overview of the lunar in situ resource utilization techniques for future lunar missions. </w:t>
      </w:r>
      <w:r w:rsidRPr="001338D8">
        <w:rPr>
          <w:i/>
        </w:rPr>
        <w:t>Space: Science &amp; Technology, 3</w:t>
      </w:r>
      <w:r w:rsidRPr="001338D8">
        <w:t>. (</w:t>
      </w:r>
      <w:hyperlink r:id="rId50">
        <w:r w:rsidR="006B7F5B" w:rsidRPr="001338D8">
          <w:rPr>
            <w:color w:val="1155CC"/>
            <w:u w:val="single"/>
          </w:rPr>
          <w:t>spj.science.org</w:t>
        </w:r>
      </w:hyperlink>
      <w:r w:rsidRPr="001338D8">
        <w:t>)</w:t>
      </w:r>
      <w:r w:rsidRPr="001338D8">
        <w:br/>
      </w:r>
    </w:p>
    <w:p w14:paraId="0000016D" w14:textId="77777777" w:rsidR="006B7F5B" w:rsidRPr="001338D8" w:rsidRDefault="00000000">
      <w:pPr>
        <w:numPr>
          <w:ilvl w:val="0"/>
          <w:numId w:val="1"/>
        </w:numPr>
      </w:pPr>
      <w:r w:rsidRPr="001338D8">
        <w:t xml:space="preserve">ESA. (2019). Sustainable in-situ resource utilization on the moon. </w:t>
      </w:r>
      <w:r w:rsidRPr="001338D8">
        <w:rPr>
          <w:i/>
        </w:rPr>
        <w:t>ScienceDirect</w:t>
      </w:r>
      <w:r w:rsidRPr="001338D8">
        <w:t>. (</w:t>
      </w:r>
      <w:hyperlink r:id="rId51">
        <w:r w:rsidR="006B7F5B" w:rsidRPr="001338D8">
          <w:rPr>
            <w:color w:val="1155CC"/>
            <w:u w:val="single"/>
          </w:rPr>
          <w:t>sciencedirect.com</w:t>
        </w:r>
      </w:hyperlink>
      <w:r w:rsidRPr="001338D8">
        <w:t>)</w:t>
      </w:r>
      <w:r w:rsidRPr="001338D8">
        <w:br/>
      </w:r>
    </w:p>
    <w:p w14:paraId="0000016E" w14:textId="77777777" w:rsidR="006B7F5B" w:rsidRPr="001338D8" w:rsidRDefault="00000000">
      <w:pPr>
        <w:numPr>
          <w:ilvl w:val="0"/>
          <w:numId w:val="1"/>
        </w:numPr>
        <w:spacing w:after="240"/>
      </w:pPr>
      <w:r w:rsidRPr="001338D8">
        <w:t>NASA. (2023). Overview: In</w:t>
      </w:r>
      <w:r w:rsidRPr="001338D8">
        <w:rPr>
          <w:rFonts w:ascii="Cambria Math" w:hAnsi="Cambria Math" w:cs="Cambria Math"/>
        </w:rPr>
        <w:t>‑</w:t>
      </w:r>
      <w:r w:rsidRPr="001338D8">
        <w:t xml:space="preserve">situ resource utilization. </w:t>
      </w:r>
      <w:r w:rsidRPr="001338D8">
        <w:rPr>
          <w:i/>
        </w:rPr>
        <w:t>NASA Lunar Surface Innovation Initiative</w:t>
      </w:r>
      <w:r w:rsidRPr="001338D8">
        <w:t>. (</w:t>
      </w:r>
      <w:hyperlink r:id="rId52">
        <w:r w:rsidR="006B7F5B" w:rsidRPr="001338D8">
          <w:rPr>
            <w:color w:val="1155CC"/>
            <w:u w:val="single"/>
          </w:rPr>
          <w:t>nasa.gov</w:t>
        </w:r>
      </w:hyperlink>
      <w:r w:rsidRPr="001338D8">
        <w:t>)</w:t>
      </w:r>
      <w:r w:rsidRPr="001338D8">
        <w:br/>
      </w:r>
    </w:p>
    <w:sectPr w:rsidR="006B7F5B" w:rsidRPr="001338D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78EB"/>
    <w:multiLevelType w:val="multilevel"/>
    <w:tmpl w:val="3B8AA9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17780694"/>
    <w:multiLevelType w:val="multilevel"/>
    <w:tmpl w:val="F7A04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8A77EB9"/>
    <w:multiLevelType w:val="hybridMultilevel"/>
    <w:tmpl w:val="98B8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FC1A38"/>
    <w:multiLevelType w:val="multilevel"/>
    <w:tmpl w:val="295E5C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FCC0C4D"/>
    <w:multiLevelType w:val="multilevel"/>
    <w:tmpl w:val="443E4E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1197E60"/>
    <w:multiLevelType w:val="multilevel"/>
    <w:tmpl w:val="1DA6C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6431000"/>
    <w:multiLevelType w:val="multilevel"/>
    <w:tmpl w:val="192CF5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EF16034"/>
    <w:multiLevelType w:val="hybridMultilevel"/>
    <w:tmpl w:val="F8BCC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4C140D"/>
    <w:multiLevelType w:val="hybridMultilevel"/>
    <w:tmpl w:val="C9DA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F569E6"/>
    <w:multiLevelType w:val="multilevel"/>
    <w:tmpl w:val="F4981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F594DDF"/>
    <w:multiLevelType w:val="hybridMultilevel"/>
    <w:tmpl w:val="5B983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5452679">
    <w:abstractNumId w:val="0"/>
  </w:num>
  <w:num w:numId="2" w16cid:durableId="452527550">
    <w:abstractNumId w:val="5"/>
  </w:num>
  <w:num w:numId="3" w16cid:durableId="1518539072">
    <w:abstractNumId w:val="1"/>
  </w:num>
  <w:num w:numId="4" w16cid:durableId="60180497">
    <w:abstractNumId w:val="3"/>
  </w:num>
  <w:num w:numId="5" w16cid:durableId="15231721">
    <w:abstractNumId w:val="9"/>
  </w:num>
  <w:num w:numId="6" w16cid:durableId="2015187160">
    <w:abstractNumId w:val="4"/>
  </w:num>
  <w:num w:numId="7" w16cid:durableId="851071777">
    <w:abstractNumId w:val="6"/>
  </w:num>
  <w:num w:numId="8" w16cid:durableId="1062022365">
    <w:abstractNumId w:val="2"/>
  </w:num>
  <w:num w:numId="9" w16cid:durableId="1366175396">
    <w:abstractNumId w:val="10"/>
  </w:num>
  <w:num w:numId="10" w16cid:durableId="156727827">
    <w:abstractNumId w:val="7"/>
  </w:num>
  <w:num w:numId="11" w16cid:durableId="1119950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F5B"/>
    <w:rsid w:val="000615C5"/>
    <w:rsid w:val="00121466"/>
    <w:rsid w:val="001338D8"/>
    <w:rsid w:val="00262088"/>
    <w:rsid w:val="003B71CD"/>
    <w:rsid w:val="006B7F5B"/>
    <w:rsid w:val="00855EA1"/>
    <w:rsid w:val="008A76F0"/>
    <w:rsid w:val="00900375"/>
    <w:rsid w:val="00984D36"/>
    <w:rsid w:val="00AA1D82"/>
    <w:rsid w:val="00B9126E"/>
    <w:rsid w:val="00C35B2A"/>
    <w:rsid w:val="00D74A2B"/>
    <w:rsid w:val="00E426B2"/>
    <w:rsid w:val="00E82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40BC9"/>
  <w15:docId w15:val="{1C8E7C0D-9D3C-4D84-B72D-4E4A61BBE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061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9802">
      <w:bodyDiv w:val="1"/>
      <w:marLeft w:val="0"/>
      <w:marRight w:val="0"/>
      <w:marTop w:val="0"/>
      <w:marBottom w:val="0"/>
      <w:divBdr>
        <w:top w:val="none" w:sz="0" w:space="0" w:color="auto"/>
        <w:left w:val="none" w:sz="0" w:space="0" w:color="auto"/>
        <w:bottom w:val="none" w:sz="0" w:space="0" w:color="auto"/>
        <w:right w:val="none" w:sz="0" w:space="0" w:color="auto"/>
      </w:divBdr>
    </w:div>
    <w:div w:id="54203457">
      <w:bodyDiv w:val="1"/>
      <w:marLeft w:val="0"/>
      <w:marRight w:val="0"/>
      <w:marTop w:val="0"/>
      <w:marBottom w:val="0"/>
      <w:divBdr>
        <w:top w:val="none" w:sz="0" w:space="0" w:color="auto"/>
        <w:left w:val="none" w:sz="0" w:space="0" w:color="auto"/>
        <w:bottom w:val="none" w:sz="0" w:space="0" w:color="auto"/>
        <w:right w:val="none" w:sz="0" w:space="0" w:color="auto"/>
      </w:divBdr>
    </w:div>
    <w:div w:id="109707861">
      <w:bodyDiv w:val="1"/>
      <w:marLeft w:val="0"/>
      <w:marRight w:val="0"/>
      <w:marTop w:val="0"/>
      <w:marBottom w:val="0"/>
      <w:divBdr>
        <w:top w:val="none" w:sz="0" w:space="0" w:color="auto"/>
        <w:left w:val="none" w:sz="0" w:space="0" w:color="auto"/>
        <w:bottom w:val="none" w:sz="0" w:space="0" w:color="auto"/>
        <w:right w:val="none" w:sz="0" w:space="0" w:color="auto"/>
      </w:divBdr>
    </w:div>
    <w:div w:id="112328812">
      <w:bodyDiv w:val="1"/>
      <w:marLeft w:val="0"/>
      <w:marRight w:val="0"/>
      <w:marTop w:val="0"/>
      <w:marBottom w:val="0"/>
      <w:divBdr>
        <w:top w:val="none" w:sz="0" w:space="0" w:color="auto"/>
        <w:left w:val="none" w:sz="0" w:space="0" w:color="auto"/>
        <w:bottom w:val="none" w:sz="0" w:space="0" w:color="auto"/>
        <w:right w:val="none" w:sz="0" w:space="0" w:color="auto"/>
      </w:divBdr>
    </w:div>
    <w:div w:id="116341410">
      <w:bodyDiv w:val="1"/>
      <w:marLeft w:val="0"/>
      <w:marRight w:val="0"/>
      <w:marTop w:val="0"/>
      <w:marBottom w:val="0"/>
      <w:divBdr>
        <w:top w:val="none" w:sz="0" w:space="0" w:color="auto"/>
        <w:left w:val="none" w:sz="0" w:space="0" w:color="auto"/>
        <w:bottom w:val="none" w:sz="0" w:space="0" w:color="auto"/>
        <w:right w:val="none" w:sz="0" w:space="0" w:color="auto"/>
      </w:divBdr>
    </w:div>
    <w:div w:id="201290004">
      <w:bodyDiv w:val="1"/>
      <w:marLeft w:val="0"/>
      <w:marRight w:val="0"/>
      <w:marTop w:val="0"/>
      <w:marBottom w:val="0"/>
      <w:divBdr>
        <w:top w:val="none" w:sz="0" w:space="0" w:color="auto"/>
        <w:left w:val="none" w:sz="0" w:space="0" w:color="auto"/>
        <w:bottom w:val="none" w:sz="0" w:space="0" w:color="auto"/>
        <w:right w:val="none" w:sz="0" w:space="0" w:color="auto"/>
      </w:divBdr>
    </w:div>
    <w:div w:id="225187523">
      <w:bodyDiv w:val="1"/>
      <w:marLeft w:val="0"/>
      <w:marRight w:val="0"/>
      <w:marTop w:val="0"/>
      <w:marBottom w:val="0"/>
      <w:divBdr>
        <w:top w:val="none" w:sz="0" w:space="0" w:color="auto"/>
        <w:left w:val="none" w:sz="0" w:space="0" w:color="auto"/>
        <w:bottom w:val="none" w:sz="0" w:space="0" w:color="auto"/>
        <w:right w:val="none" w:sz="0" w:space="0" w:color="auto"/>
      </w:divBdr>
    </w:div>
    <w:div w:id="325399452">
      <w:bodyDiv w:val="1"/>
      <w:marLeft w:val="0"/>
      <w:marRight w:val="0"/>
      <w:marTop w:val="0"/>
      <w:marBottom w:val="0"/>
      <w:divBdr>
        <w:top w:val="none" w:sz="0" w:space="0" w:color="auto"/>
        <w:left w:val="none" w:sz="0" w:space="0" w:color="auto"/>
        <w:bottom w:val="none" w:sz="0" w:space="0" w:color="auto"/>
        <w:right w:val="none" w:sz="0" w:space="0" w:color="auto"/>
      </w:divBdr>
    </w:div>
    <w:div w:id="437258509">
      <w:bodyDiv w:val="1"/>
      <w:marLeft w:val="0"/>
      <w:marRight w:val="0"/>
      <w:marTop w:val="0"/>
      <w:marBottom w:val="0"/>
      <w:divBdr>
        <w:top w:val="none" w:sz="0" w:space="0" w:color="auto"/>
        <w:left w:val="none" w:sz="0" w:space="0" w:color="auto"/>
        <w:bottom w:val="none" w:sz="0" w:space="0" w:color="auto"/>
        <w:right w:val="none" w:sz="0" w:space="0" w:color="auto"/>
      </w:divBdr>
    </w:div>
    <w:div w:id="485391974">
      <w:bodyDiv w:val="1"/>
      <w:marLeft w:val="0"/>
      <w:marRight w:val="0"/>
      <w:marTop w:val="0"/>
      <w:marBottom w:val="0"/>
      <w:divBdr>
        <w:top w:val="none" w:sz="0" w:space="0" w:color="auto"/>
        <w:left w:val="none" w:sz="0" w:space="0" w:color="auto"/>
        <w:bottom w:val="none" w:sz="0" w:space="0" w:color="auto"/>
        <w:right w:val="none" w:sz="0" w:space="0" w:color="auto"/>
      </w:divBdr>
    </w:div>
    <w:div w:id="539367112">
      <w:bodyDiv w:val="1"/>
      <w:marLeft w:val="0"/>
      <w:marRight w:val="0"/>
      <w:marTop w:val="0"/>
      <w:marBottom w:val="0"/>
      <w:divBdr>
        <w:top w:val="none" w:sz="0" w:space="0" w:color="auto"/>
        <w:left w:val="none" w:sz="0" w:space="0" w:color="auto"/>
        <w:bottom w:val="none" w:sz="0" w:space="0" w:color="auto"/>
        <w:right w:val="none" w:sz="0" w:space="0" w:color="auto"/>
      </w:divBdr>
    </w:div>
    <w:div w:id="600457322">
      <w:bodyDiv w:val="1"/>
      <w:marLeft w:val="0"/>
      <w:marRight w:val="0"/>
      <w:marTop w:val="0"/>
      <w:marBottom w:val="0"/>
      <w:divBdr>
        <w:top w:val="none" w:sz="0" w:space="0" w:color="auto"/>
        <w:left w:val="none" w:sz="0" w:space="0" w:color="auto"/>
        <w:bottom w:val="none" w:sz="0" w:space="0" w:color="auto"/>
        <w:right w:val="none" w:sz="0" w:space="0" w:color="auto"/>
      </w:divBdr>
    </w:div>
    <w:div w:id="612250106">
      <w:bodyDiv w:val="1"/>
      <w:marLeft w:val="0"/>
      <w:marRight w:val="0"/>
      <w:marTop w:val="0"/>
      <w:marBottom w:val="0"/>
      <w:divBdr>
        <w:top w:val="none" w:sz="0" w:space="0" w:color="auto"/>
        <w:left w:val="none" w:sz="0" w:space="0" w:color="auto"/>
        <w:bottom w:val="none" w:sz="0" w:space="0" w:color="auto"/>
        <w:right w:val="none" w:sz="0" w:space="0" w:color="auto"/>
      </w:divBdr>
    </w:div>
    <w:div w:id="703676724">
      <w:bodyDiv w:val="1"/>
      <w:marLeft w:val="0"/>
      <w:marRight w:val="0"/>
      <w:marTop w:val="0"/>
      <w:marBottom w:val="0"/>
      <w:divBdr>
        <w:top w:val="none" w:sz="0" w:space="0" w:color="auto"/>
        <w:left w:val="none" w:sz="0" w:space="0" w:color="auto"/>
        <w:bottom w:val="none" w:sz="0" w:space="0" w:color="auto"/>
        <w:right w:val="none" w:sz="0" w:space="0" w:color="auto"/>
      </w:divBdr>
    </w:div>
    <w:div w:id="739521691">
      <w:bodyDiv w:val="1"/>
      <w:marLeft w:val="0"/>
      <w:marRight w:val="0"/>
      <w:marTop w:val="0"/>
      <w:marBottom w:val="0"/>
      <w:divBdr>
        <w:top w:val="none" w:sz="0" w:space="0" w:color="auto"/>
        <w:left w:val="none" w:sz="0" w:space="0" w:color="auto"/>
        <w:bottom w:val="none" w:sz="0" w:space="0" w:color="auto"/>
        <w:right w:val="none" w:sz="0" w:space="0" w:color="auto"/>
      </w:divBdr>
    </w:div>
    <w:div w:id="751047272">
      <w:bodyDiv w:val="1"/>
      <w:marLeft w:val="0"/>
      <w:marRight w:val="0"/>
      <w:marTop w:val="0"/>
      <w:marBottom w:val="0"/>
      <w:divBdr>
        <w:top w:val="none" w:sz="0" w:space="0" w:color="auto"/>
        <w:left w:val="none" w:sz="0" w:space="0" w:color="auto"/>
        <w:bottom w:val="none" w:sz="0" w:space="0" w:color="auto"/>
        <w:right w:val="none" w:sz="0" w:space="0" w:color="auto"/>
      </w:divBdr>
    </w:div>
    <w:div w:id="761410574">
      <w:bodyDiv w:val="1"/>
      <w:marLeft w:val="0"/>
      <w:marRight w:val="0"/>
      <w:marTop w:val="0"/>
      <w:marBottom w:val="0"/>
      <w:divBdr>
        <w:top w:val="none" w:sz="0" w:space="0" w:color="auto"/>
        <w:left w:val="none" w:sz="0" w:space="0" w:color="auto"/>
        <w:bottom w:val="none" w:sz="0" w:space="0" w:color="auto"/>
        <w:right w:val="none" w:sz="0" w:space="0" w:color="auto"/>
      </w:divBdr>
    </w:div>
    <w:div w:id="775517577">
      <w:bodyDiv w:val="1"/>
      <w:marLeft w:val="0"/>
      <w:marRight w:val="0"/>
      <w:marTop w:val="0"/>
      <w:marBottom w:val="0"/>
      <w:divBdr>
        <w:top w:val="none" w:sz="0" w:space="0" w:color="auto"/>
        <w:left w:val="none" w:sz="0" w:space="0" w:color="auto"/>
        <w:bottom w:val="none" w:sz="0" w:space="0" w:color="auto"/>
        <w:right w:val="none" w:sz="0" w:space="0" w:color="auto"/>
      </w:divBdr>
    </w:div>
    <w:div w:id="826244908">
      <w:bodyDiv w:val="1"/>
      <w:marLeft w:val="0"/>
      <w:marRight w:val="0"/>
      <w:marTop w:val="0"/>
      <w:marBottom w:val="0"/>
      <w:divBdr>
        <w:top w:val="none" w:sz="0" w:space="0" w:color="auto"/>
        <w:left w:val="none" w:sz="0" w:space="0" w:color="auto"/>
        <w:bottom w:val="none" w:sz="0" w:space="0" w:color="auto"/>
        <w:right w:val="none" w:sz="0" w:space="0" w:color="auto"/>
      </w:divBdr>
    </w:div>
    <w:div w:id="862061127">
      <w:bodyDiv w:val="1"/>
      <w:marLeft w:val="0"/>
      <w:marRight w:val="0"/>
      <w:marTop w:val="0"/>
      <w:marBottom w:val="0"/>
      <w:divBdr>
        <w:top w:val="none" w:sz="0" w:space="0" w:color="auto"/>
        <w:left w:val="none" w:sz="0" w:space="0" w:color="auto"/>
        <w:bottom w:val="none" w:sz="0" w:space="0" w:color="auto"/>
        <w:right w:val="none" w:sz="0" w:space="0" w:color="auto"/>
      </w:divBdr>
    </w:div>
    <w:div w:id="892036015">
      <w:bodyDiv w:val="1"/>
      <w:marLeft w:val="0"/>
      <w:marRight w:val="0"/>
      <w:marTop w:val="0"/>
      <w:marBottom w:val="0"/>
      <w:divBdr>
        <w:top w:val="none" w:sz="0" w:space="0" w:color="auto"/>
        <w:left w:val="none" w:sz="0" w:space="0" w:color="auto"/>
        <w:bottom w:val="none" w:sz="0" w:space="0" w:color="auto"/>
        <w:right w:val="none" w:sz="0" w:space="0" w:color="auto"/>
      </w:divBdr>
    </w:div>
    <w:div w:id="898446170">
      <w:bodyDiv w:val="1"/>
      <w:marLeft w:val="0"/>
      <w:marRight w:val="0"/>
      <w:marTop w:val="0"/>
      <w:marBottom w:val="0"/>
      <w:divBdr>
        <w:top w:val="none" w:sz="0" w:space="0" w:color="auto"/>
        <w:left w:val="none" w:sz="0" w:space="0" w:color="auto"/>
        <w:bottom w:val="none" w:sz="0" w:space="0" w:color="auto"/>
        <w:right w:val="none" w:sz="0" w:space="0" w:color="auto"/>
      </w:divBdr>
    </w:div>
    <w:div w:id="924537488">
      <w:bodyDiv w:val="1"/>
      <w:marLeft w:val="0"/>
      <w:marRight w:val="0"/>
      <w:marTop w:val="0"/>
      <w:marBottom w:val="0"/>
      <w:divBdr>
        <w:top w:val="none" w:sz="0" w:space="0" w:color="auto"/>
        <w:left w:val="none" w:sz="0" w:space="0" w:color="auto"/>
        <w:bottom w:val="none" w:sz="0" w:space="0" w:color="auto"/>
        <w:right w:val="none" w:sz="0" w:space="0" w:color="auto"/>
      </w:divBdr>
    </w:div>
    <w:div w:id="957418640">
      <w:bodyDiv w:val="1"/>
      <w:marLeft w:val="0"/>
      <w:marRight w:val="0"/>
      <w:marTop w:val="0"/>
      <w:marBottom w:val="0"/>
      <w:divBdr>
        <w:top w:val="none" w:sz="0" w:space="0" w:color="auto"/>
        <w:left w:val="none" w:sz="0" w:space="0" w:color="auto"/>
        <w:bottom w:val="none" w:sz="0" w:space="0" w:color="auto"/>
        <w:right w:val="none" w:sz="0" w:space="0" w:color="auto"/>
      </w:divBdr>
    </w:div>
    <w:div w:id="992836640">
      <w:bodyDiv w:val="1"/>
      <w:marLeft w:val="0"/>
      <w:marRight w:val="0"/>
      <w:marTop w:val="0"/>
      <w:marBottom w:val="0"/>
      <w:divBdr>
        <w:top w:val="none" w:sz="0" w:space="0" w:color="auto"/>
        <w:left w:val="none" w:sz="0" w:space="0" w:color="auto"/>
        <w:bottom w:val="none" w:sz="0" w:space="0" w:color="auto"/>
        <w:right w:val="none" w:sz="0" w:space="0" w:color="auto"/>
      </w:divBdr>
    </w:div>
    <w:div w:id="1092362657">
      <w:bodyDiv w:val="1"/>
      <w:marLeft w:val="0"/>
      <w:marRight w:val="0"/>
      <w:marTop w:val="0"/>
      <w:marBottom w:val="0"/>
      <w:divBdr>
        <w:top w:val="none" w:sz="0" w:space="0" w:color="auto"/>
        <w:left w:val="none" w:sz="0" w:space="0" w:color="auto"/>
        <w:bottom w:val="none" w:sz="0" w:space="0" w:color="auto"/>
        <w:right w:val="none" w:sz="0" w:space="0" w:color="auto"/>
      </w:divBdr>
    </w:div>
    <w:div w:id="1237327018">
      <w:bodyDiv w:val="1"/>
      <w:marLeft w:val="0"/>
      <w:marRight w:val="0"/>
      <w:marTop w:val="0"/>
      <w:marBottom w:val="0"/>
      <w:divBdr>
        <w:top w:val="none" w:sz="0" w:space="0" w:color="auto"/>
        <w:left w:val="none" w:sz="0" w:space="0" w:color="auto"/>
        <w:bottom w:val="none" w:sz="0" w:space="0" w:color="auto"/>
        <w:right w:val="none" w:sz="0" w:space="0" w:color="auto"/>
      </w:divBdr>
    </w:div>
    <w:div w:id="1242984373">
      <w:bodyDiv w:val="1"/>
      <w:marLeft w:val="0"/>
      <w:marRight w:val="0"/>
      <w:marTop w:val="0"/>
      <w:marBottom w:val="0"/>
      <w:divBdr>
        <w:top w:val="none" w:sz="0" w:space="0" w:color="auto"/>
        <w:left w:val="none" w:sz="0" w:space="0" w:color="auto"/>
        <w:bottom w:val="none" w:sz="0" w:space="0" w:color="auto"/>
        <w:right w:val="none" w:sz="0" w:space="0" w:color="auto"/>
      </w:divBdr>
    </w:div>
    <w:div w:id="1372998509">
      <w:bodyDiv w:val="1"/>
      <w:marLeft w:val="0"/>
      <w:marRight w:val="0"/>
      <w:marTop w:val="0"/>
      <w:marBottom w:val="0"/>
      <w:divBdr>
        <w:top w:val="none" w:sz="0" w:space="0" w:color="auto"/>
        <w:left w:val="none" w:sz="0" w:space="0" w:color="auto"/>
        <w:bottom w:val="none" w:sz="0" w:space="0" w:color="auto"/>
        <w:right w:val="none" w:sz="0" w:space="0" w:color="auto"/>
      </w:divBdr>
    </w:div>
    <w:div w:id="1373270394">
      <w:bodyDiv w:val="1"/>
      <w:marLeft w:val="0"/>
      <w:marRight w:val="0"/>
      <w:marTop w:val="0"/>
      <w:marBottom w:val="0"/>
      <w:divBdr>
        <w:top w:val="none" w:sz="0" w:space="0" w:color="auto"/>
        <w:left w:val="none" w:sz="0" w:space="0" w:color="auto"/>
        <w:bottom w:val="none" w:sz="0" w:space="0" w:color="auto"/>
        <w:right w:val="none" w:sz="0" w:space="0" w:color="auto"/>
      </w:divBdr>
    </w:div>
    <w:div w:id="1384671261">
      <w:bodyDiv w:val="1"/>
      <w:marLeft w:val="0"/>
      <w:marRight w:val="0"/>
      <w:marTop w:val="0"/>
      <w:marBottom w:val="0"/>
      <w:divBdr>
        <w:top w:val="none" w:sz="0" w:space="0" w:color="auto"/>
        <w:left w:val="none" w:sz="0" w:space="0" w:color="auto"/>
        <w:bottom w:val="none" w:sz="0" w:space="0" w:color="auto"/>
        <w:right w:val="none" w:sz="0" w:space="0" w:color="auto"/>
      </w:divBdr>
    </w:div>
    <w:div w:id="1517420933">
      <w:bodyDiv w:val="1"/>
      <w:marLeft w:val="0"/>
      <w:marRight w:val="0"/>
      <w:marTop w:val="0"/>
      <w:marBottom w:val="0"/>
      <w:divBdr>
        <w:top w:val="none" w:sz="0" w:space="0" w:color="auto"/>
        <w:left w:val="none" w:sz="0" w:space="0" w:color="auto"/>
        <w:bottom w:val="none" w:sz="0" w:space="0" w:color="auto"/>
        <w:right w:val="none" w:sz="0" w:space="0" w:color="auto"/>
      </w:divBdr>
    </w:div>
    <w:div w:id="1518932782">
      <w:bodyDiv w:val="1"/>
      <w:marLeft w:val="0"/>
      <w:marRight w:val="0"/>
      <w:marTop w:val="0"/>
      <w:marBottom w:val="0"/>
      <w:divBdr>
        <w:top w:val="none" w:sz="0" w:space="0" w:color="auto"/>
        <w:left w:val="none" w:sz="0" w:space="0" w:color="auto"/>
        <w:bottom w:val="none" w:sz="0" w:space="0" w:color="auto"/>
        <w:right w:val="none" w:sz="0" w:space="0" w:color="auto"/>
      </w:divBdr>
    </w:div>
    <w:div w:id="1570577479">
      <w:bodyDiv w:val="1"/>
      <w:marLeft w:val="0"/>
      <w:marRight w:val="0"/>
      <w:marTop w:val="0"/>
      <w:marBottom w:val="0"/>
      <w:divBdr>
        <w:top w:val="none" w:sz="0" w:space="0" w:color="auto"/>
        <w:left w:val="none" w:sz="0" w:space="0" w:color="auto"/>
        <w:bottom w:val="none" w:sz="0" w:space="0" w:color="auto"/>
        <w:right w:val="none" w:sz="0" w:space="0" w:color="auto"/>
      </w:divBdr>
    </w:div>
    <w:div w:id="1601721472">
      <w:bodyDiv w:val="1"/>
      <w:marLeft w:val="0"/>
      <w:marRight w:val="0"/>
      <w:marTop w:val="0"/>
      <w:marBottom w:val="0"/>
      <w:divBdr>
        <w:top w:val="none" w:sz="0" w:space="0" w:color="auto"/>
        <w:left w:val="none" w:sz="0" w:space="0" w:color="auto"/>
        <w:bottom w:val="none" w:sz="0" w:space="0" w:color="auto"/>
        <w:right w:val="none" w:sz="0" w:space="0" w:color="auto"/>
      </w:divBdr>
    </w:div>
    <w:div w:id="1627738064">
      <w:bodyDiv w:val="1"/>
      <w:marLeft w:val="0"/>
      <w:marRight w:val="0"/>
      <w:marTop w:val="0"/>
      <w:marBottom w:val="0"/>
      <w:divBdr>
        <w:top w:val="none" w:sz="0" w:space="0" w:color="auto"/>
        <w:left w:val="none" w:sz="0" w:space="0" w:color="auto"/>
        <w:bottom w:val="none" w:sz="0" w:space="0" w:color="auto"/>
        <w:right w:val="none" w:sz="0" w:space="0" w:color="auto"/>
      </w:divBdr>
    </w:div>
    <w:div w:id="1694303511">
      <w:bodyDiv w:val="1"/>
      <w:marLeft w:val="0"/>
      <w:marRight w:val="0"/>
      <w:marTop w:val="0"/>
      <w:marBottom w:val="0"/>
      <w:divBdr>
        <w:top w:val="none" w:sz="0" w:space="0" w:color="auto"/>
        <w:left w:val="none" w:sz="0" w:space="0" w:color="auto"/>
        <w:bottom w:val="none" w:sz="0" w:space="0" w:color="auto"/>
        <w:right w:val="none" w:sz="0" w:space="0" w:color="auto"/>
      </w:divBdr>
    </w:div>
    <w:div w:id="1809014263">
      <w:bodyDiv w:val="1"/>
      <w:marLeft w:val="0"/>
      <w:marRight w:val="0"/>
      <w:marTop w:val="0"/>
      <w:marBottom w:val="0"/>
      <w:divBdr>
        <w:top w:val="none" w:sz="0" w:space="0" w:color="auto"/>
        <w:left w:val="none" w:sz="0" w:space="0" w:color="auto"/>
        <w:bottom w:val="none" w:sz="0" w:space="0" w:color="auto"/>
        <w:right w:val="none" w:sz="0" w:space="0" w:color="auto"/>
      </w:divBdr>
    </w:div>
    <w:div w:id="1827166065">
      <w:bodyDiv w:val="1"/>
      <w:marLeft w:val="0"/>
      <w:marRight w:val="0"/>
      <w:marTop w:val="0"/>
      <w:marBottom w:val="0"/>
      <w:divBdr>
        <w:top w:val="none" w:sz="0" w:space="0" w:color="auto"/>
        <w:left w:val="none" w:sz="0" w:space="0" w:color="auto"/>
        <w:bottom w:val="none" w:sz="0" w:space="0" w:color="auto"/>
        <w:right w:val="none" w:sz="0" w:space="0" w:color="auto"/>
      </w:divBdr>
    </w:div>
    <w:div w:id="1835291883">
      <w:bodyDiv w:val="1"/>
      <w:marLeft w:val="0"/>
      <w:marRight w:val="0"/>
      <w:marTop w:val="0"/>
      <w:marBottom w:val="0"/>
      <w:divBdr>
        <w:top w:val="none" w:sz="0" w:space="0" w:color="auto"/>
        <w:left w:val="none" w:sz="0" w:space="0" w:color="auto"/>
        <w:bottom w:val="none" w:sz="0" w:space="0" w:color="auto"/>
        <w:right w:val="none" w:sz="0" w:space="0" w:color="auto"/>
      </w:divBdr>
    </w:div>
    <w:div w:id="1880312459">
      <w:bodyDiv w:val="1"/>
      <w:marLeft w:val="0"/>
      <w:marRight w:val="0"/>
      <w:marTop w:val="0"/>
      <w:marBottom w:val="0"/>
      <w:divBdr>
        <w:top w:val="none" w:sz="0" w:space="0" w:color="auto"/>
        <w:left w:val="none" w:sz="0" w:space="0" w:color="auto"/>
        <w:bottom w:val="none" w:sz="0" w:space="0" w:color="auto"/>
        <w:right w:val="none" w:sz="0" w:space="0" w:color="auto"/>
      </w:divBdr>
    </w:div>
    <w:div w:id="1895771858">
      <w:bodyDiv w:val="1"/>
      <w:marLeft w:val="0"/>
      <w:marRight w:val="0"/>
      <w:marTop w:val="0"/>
      <w:marBottom w:val="0"/>
      <w:divBdr>
        <w:top w:val="none" w:sz="0" w:space="0" w:color="auto"/>
        <w:left w:val="none" w:sz="0" w:space="0" w:color="auto"/>
        <w:bottom w:val="none" w:sz="0" w:space="0" w:color="auto"/>
        <w:right w:val="none" w:sz="0" w:space="0" w:color="auto"/>
      </w:divBdr>
    </w:div>
    <w:div w:id="1991444054">
      <w:bodyDiv w:val="1"/>
      <w:marLeft w:val="0"/>
      <w:marRight w:val="0"/>
      <w:marTop w:val="0"/>
      <w:marBottom w:val="0"/>
      <w:divBdr>
        <w:top w:val="none" w:sz="0" w:space="0" w:color="auto"/>
        <w:left w:val="none" w:sz="0" w:space="0" w:color="auto"/>
        <w:bottom w:val="none" w:sz="0" w:space="0" w:color="auto"/>
        <w:right w:val="none" w:sz="0" w:space="0" w:color="auto"/>
      </w:divBdr>
    </w:div>
    <w:div w:id="2010208907">
      <w:bodyDiv w:val="1"/>
      <w:marLeft w:val="0"/>
      <w:marRight w:val="0"/>
      <w:marTop w:val="0"/>
      <w:marBottom w:val="0"/>
      <w:divBdr>
        <w:top w:val="none" w:sz="0" w:space="0" w:color="auto"/>
        <w:left w:val="none" w:sz="0" w:space="0" w:color="auto"/>
        <w:bottom w:val="none" w:sz="0" w:space="0" w:color="auto"/>
        <w:right w:val="none" w:sz="0" w:space="0" w:color="auto"/>
      </w:divBdr>
    </w:div>
    <w:div w:id="2012220486">
      <w:bodyDiv w:val="1"/>
      <w:marLeft w:val="0"/>
      <w:marRight w:val="0"/>
      <w:marTop w:val="0"/>
      <w:marBottom w:val="0"/>
      <w:divBdr>
        <w:top w:val="none" w:sz="0" w:space="0" w:color="auto"/>
        <w:left w:val="none" w:sz="0" w:space="0" w:color="auto"/>
        <w:bottom w:val="none" w:sz="0" w:space="0" w:color="auto"/>
        <w:right w:val="none" w:sz="0" w:space="0" w:color="auto"/>
      </w:divBdr>
    </w:div>
    <w:div w:id="2054111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doi.org/10.48550/arXiv.2206.08373" TargetMode="External"/><Relationship Id="rId18" Type="http://schemas.openxmlformats.org/officeDocument/2006/relationships/hyperlink" Target="https://doi.org/10.48550/arXiv.2408.05823" TargetMode="External"/><Relationship Id="rId26" Type="http://schemas.openxmlformats.org/officeDocument/2006/relationships/hyperlink" Target="https://en.wikipedia.org/wiki/Space-based_solar_power?utm_source=chatgpt.com" TargetMode="External"/><Relationship Id="rId39" Type="http://schemas.openxmlformats.org/officeDocument/2006/relationships/hyperlink" Target="https://www.wired.com/2012/06/lunar-base-or-space-station-1983?utm_source=chatgpt.com" TargetMode="External"/><Relationship Id="rId3" Type="http://schemas.openxmlformats.org/officeDocument/2006/relationships/settings" Target="settings.xml"/><Relationship Id="rId21" Type="http://schemas.openxmlformats.org/officeDocument/2006/relationships/hyperlink" Target="https://en.wikipedia.org/wiki/Lunar_resources?utm_source=chatgpt.com" TargetMode="External"/><Relationship Id="rId34" Type="http://schemas.openxmlformats.org/officeDocument/2006/relationships/hyperlink" Target="https://en.wikipedia.org/wiki/Joel_C._Sercel?utm_source=chatgpt.com" TargetMode="External"/><Relationship Id="rId42" Type="http://schemas.openxmlformats.org/officeDocument/2006/relationships/hyperlink" Target="https://arxiv.org/abs/2408.05823?utm_source=chatgpt.com" TargetMode="External"/><Relationship Id="rId47" Type="http://schemas.openxmlformats.org/officeDocument/2006/relationships/hyperlink" Target="https://doi.org/10.48550/arXiv.2502.13679" TargetMode="External"/><Relationship Id="rId50" Type="http://schemas.openxmlformats.org/officeDocument/2006/relationships/hyperlink" Target="https://spj.science.org/doi/10.34133/space.0037?utm_source=chatgpt.com" TargetMode="External"/><Relationship Id="rId7" Type="http://schemas.openxmlformats.org/officeDocument/2006/relationships/image" Target="media/image3.png"/><Relationship Id="rId12" Type="http://schemas.openxmlformats.org/officeDocument/2006/relationships/hyperlink" Target="https://doi.org/10.48550/arXiv.2206.08373" TargetMode="External"/><Relationship Id="rId17" Type="http://schemas.openxmlformats.org/officeDocument/2006/relationships/hyperlink" Target="https://arxiv.org/abs/2107.05872?utm_source=chatgpt.com" TargetMode="External"/><Relationship Id="rId25" Type="http://schemas.openxmlformats.org/officeDocument/2006/relationships/hyperlink" Target="https://en.wikipedia.org/wiki/Space-based_solar_power?utm_source=chatgpt.com" TargetMode="External"/><Relationship Id="rId33" Type="http://schemas.openxmlformats.org/officeDocument/2006/relationships/hyperlink" Target="https://en.wikipedia.org/wiki/Space-based_solar_power?utm_source=chatgpt.com" TargetMode="External"/><Relationship Id="rId38" Type="http://schemas.openxmlformats.org/officeDocument/2006/relationships/hyperlink" Target="https://www.wired.com/2004/11/the-final-capitalist-frontier?utm_source=chatgpt.com" TargetMode="External"/><Relationship Id="rId46" Type="http://schemas.openxmlformats.org/officeDocument/2006/relationships/hyperlink" Target="https://doi.org/10.48550/arXiv.2502.13679" TargetMode="External"/><Relationship Id="rId2" Type="http://schemas.openxmlformats.org/officeDocument/2006/relationships/styles" Target="styles.xml"/><Relationship Id="rId16" Type="http://schemas.openxmlformats.org/officeDocument/2006/relationships/hyperlink" Target="https://doi.org/10.48550/arXiv.2107.05872" TargetMode="External"/><Relationship Id="rId20" Type="http://schemas.openxmlformats.org/officeDocument/2006/relationships/hyperlink" Target="https://arxiv.org/abs/2408.05823?utm_source=chatgpt.com" TargetMode="External"/><Relationship Id="rId29" Type="http://schemas.openxmlformats.org/officeDocument/2006/relationships/hyperlink" Target="https://en.wikipedia.org/wiki/In_situ_resource_utilization?utm_source=chatgpt.com" TargetMode="External"/><Relationship Id="rId41" Type="http://schemas.openxmlformats.org/officeDocument/2006/relationships/hyperlink" Target="https://arxiv.org/abs/2408.05823?utm_source=chatgpt.com"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hyperlink" Target="https://dspace.mit.edu/bitstream/handle/1721.1/159137/ng-alexng-sm-sdm-2025-thesis.pdf?isAllowed=y&amp;sequence=-1&amp;utm_source=chatgpt.com" TargetMode="External"/><Relationship Id="rId32" Type="http://schemas.openxmlformats.org/officeDocument/2006/relationships/hyperlink" Target="https://en.wikipedia.org/wiki/Space-based_solar_power?utm_source=chatgpt.com" TargetMode="External"/><Relationship Id="rId37" Type="http://schemas.openxmlformats.org/officeDocument/2006/relationships/hyperlink" Target="https://www.wired.com/story/japan-moon-power-plant?utm_source=chatgpt.com" TargetMode="External"/><Relationship Id="rId40" Type="http://schemas.openxmlformats.org/officeDocument/2006/relationships/hyperlink" Target="https://en.wikipedia.org/wiki/Lunar_resources?utm_source=chatgpt.com" TargetMode="External"/><Relationship Id="rId45" Type="http://schemas.openxmlformats.org/officeDocument/2006/relationships/hyperlink" Target="https://en.wikipedia.org/wiki/Lunar_resources?utm_source=chatgpt.com" TargetMode="External"/><Relationship Id="rId53"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doi.org/10.48550/arXiv.2107.05872" TargetMode="External"/><Relationship Id="rId23" Type="http://schemas.openxmlformats.org/officeDocument/2006/relationships/hyperlink" Target="https://en.wikipedia.org/wiki/Space-based_solar_power?utm_source=chatgpt.com" TargetMode="External"/><Relationship Id="rId28" Type="http://schemas.openxmlformats.org/officeDocument/2006/relationships/hyperlink" Target="https://en.wikipedia.org/wiki/Lunar_resources?utm_source=chatgpt.com" TargetMode="External"/><Relationship Id="rId36" Type="http://schemas.openxmlformats.org/officeDocument/2006/relationships/hyperlink" Target="https://www.wired.com/story/japan-moon-power-plant?utm_source=chatgpt.com" TargetMode="External"/><Relationship Id="rId49" Type="http://schemas.openxmlformats.org/officeDocument/2006/relationships/hyperlink" Target="https://www.researchgate.net/publication/384457776_META-LUNA_Disruptive_ISRU_for_building_future_solar_power_satellites?utm_source=chatgpt.com" TargetMode="External"/><Relationship Id="rId10" Type="http://schemas.openxmlformats.org/officeDocument/2006/relationships/image" Target="media/image6.png"/><Relationship Id="rId19" Type="http://schemas.openxmlformats.org/officeDocument/2006/relationships/hyperlink" Target="https://doi.org/10.48550/arXiv.2408.05823" TargetMode="External"/><Relationship Id="rId31" Type="http://schemas.openxmlformats.org/officeDocument/2006/relationships/hyperlink" Target="https://en.wikipedia.org/wiki/Lunar_resources?utm_source=chatgpt.com" TargetMode="External"/><Relationship Id="rId44" Type="http://schemas.openxmlformats.org/officeDocument/2006/relationships/hyperlink" Target="https://www.nasa.gov/wp-content/uploads/2025/03/niac-2012-phii-khoshnevis-2012-isru-construction-tagged.pdf?emrc=408189&amp;utm_source=chatgpt.com" TargetMode="External"/><Relationship Id="rId52" Type="http://schemas.openxmlformats.org/officeDocument/2006/relationships/hyperlink" Target="https://www.nasa.gov/overview-in-situ-resource-utilization/?utm_source=chatgpt.com"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arxiv.org/abs/2206.08373?utm_source=chatgpt.com" TargetMode="External"/><Relationship Id="rId22" Type="http://schemas.openxmlformats.org/officeDocument/2006/relationships/hyperlink" Target="https://en.wikipedia.org/wiki/Space-based_solar_power?utm_source=chatgpt.com" TargetMode="External"/><Relationship Id="rId27" Type="http://schemas.openxmlformats.org/officeDocument/2006/relationships/hyperlink" Target="https://en.wikipedia.org/wiki/Lunar_resources?utm_source=chatgpt.com" TargetMode="External"/><Relationship Id="rId30" Type="http://schemas.openxmlformats.org/officeDocument/2006/relationships/hyperlink" Target="https://en.wikipedia.org/wiki/Lunar_resources?utm_source=chatgpt.com" TargetMode="External"/><Relationship Id="rId35" Type="http://schemas.openxmlformats.org/officeDocument/2006/relationships/hyperlink" Target="https://en.wikipedia.org/wiki/Joel_C._Sercel?utm_source=chatgpt.com" TargetMode="External"/><Relationship Id="rId43" Type="http://schemas.openxmlformats.org/officeDocument/2006/relationships/hyperlink" Target="https://ui.adsabs.harvard.edu/abs/2020AGUFMP061...01C/abstract?utm_source=chatgpt.com" TargetMode="External"/><Relationship Id="rId48" Type="http://schemas.openxmlformats.org/officeDocument/2006/relationships/hyperlink" Target="https://arxiv.org/abs/2502.13679?utm_source=chatgpt.com" TargetMode="External"/><Relationship Id="rId8" Type="http://schemas.openxmlformats.org/officeDocument/2006/relationships/image" Target="media/image4.png"/><Relationship Id="rId51" Type="http://schemas.openxmlformats.org/officeDocument/2006/relationships/hyperlink" Target="https://www.sciencedirect.com/science/article/abs/pii/S0032063319301862?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30</Pages>
  <Words>10227</Words>
  <Characters>58300</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Vrushabhraj Tanawade</cp:lastModifiedBy>
  <cp:revision>11</cp:revision>
  <dcterms:created xsi:type="dcterms:W3CDTF">2025-06-19T08:13:00Z</dcterms:created>
  <dcterms:modified xsi:type="dcterms:W3CDTF">2025-06-23T06:55:00Z</dcterms:modified>
</cp:coreProperties>
</file>